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A5B8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val="0"/>
          <w:bCs/>
          <w:color w:val="auto"/>
          <w:sz w:val="44"/>
          <w:szCs w:val="44"/>
        </w:rPr>
      </w:pPr>
      <w:r>
        <w:rPr>
          <w:rFonts w:hint="eastAsia" w:ascii="黑体" w:hAnsi="黑体" w:eastAsia="黑体" w:cs="黑体"/>
          <w:b w:val="0"/>
          <w:bCs/>
          <w:color w:val="auto"/>
          <w:sz w:val="44"/>
          <w:szCs w:val="44"/>
        </w:rPr>
        <w:t>申请使用房屋专项维修资金</w:t>
      </w:r>
    </w:p>
    <w:p w14:paraId="4E32C8D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color w:val="auto"/>
          <w:sz w:val="44"/>
          <w:szCs w:val="44"/>
        </w:rPr>
      </w:pPr>
      <w:r>
        <w:rPr>
          <w:rFonts w:hint="eastAsia" w:ascii="黑体" w:hAnsi="黑体" w:eastAsia="黑体" w:cs="黑体"/>
          <w:b w:val="0"/>
          <w:bCs/>
          <w:color w:val="auto"/>
          <w:sz w:val="44"/>
          <w:szCs w:val="44"/>
        </w:rPr>
        <w:t>维修和更新、改造方案</w:t>
      </w:r>
      <w:r>
        <w:rPr>
          <w:rFonts w:hint="eastAsia" w:ascii="黑体" w:hAnsi="黑体" w:eastAsia="黑体" w:cs="黑体"/>
          <w:b w:val="0"/>
          <w:bCs/>
          <w:color w:val="auto"/>
          <w:sz w:val="44"/>
          <w:szCs w:val="44"/>
          <w:lang w:eastAsia="zh-CN"/>
        </w:rPr>
        <w:t>（</w:t>
      </w:r>
      <w:r>
        <w:rPr>
          <w:rFonts w:hint="eastAsia" w:ascii="黑体" w:hAnsi="黑体" w:eastAsia="黑体" w:cs="黑体"/>
          <w:b w:val="0"/>
          <w:bCs/>
          <w:color w:val="auto"/>
          <w:sz w:val="44"/>
          <w:szCs w:val="44"/>
          <w:lang w:val="en-US" w:eastAsia="zh-CN"/>
        </w:rPr>
        <w:t>应急维修</w:t>
      </w:r>
      <w:r>
        <w:rPr>
          <w:rFonts w:hint="eastAsia" w:ascii="黑体" w:hAnsi="黑体" w:eastAsia="黑体" w:cs="黑体"/>
          <w:b w:val="0"/>
          <w:bCs/>
          <w:color w:val="auto"/>
          <w:sz w:val="44"/>
          <w:szCs w:val="44"/>
          <w:lang w:eastAsia="zh-CN"/>
        </w:rPr>
        <w:t>）</w:t>
      </w:r>
    </w:p>
    <w:p w14:paraId="7867CC92">
      <w:pPr>
        <w:keepNext w:val="0"/>
        <w:keepLines w:val="0"/>
        <w:pageBreakBefore w:val="0"/>
        <w:widowControl w:val="0"/>
        <w:kinsoku/>
        <w:wordWrap w:val="0"/>
        <w:overflowPunct/>
        <w:topLinePunct w:val="0"/>
        <w:autoSpaceDE/>
        <w:autoSpaceDN/>
        <w:bidi w:val="0"/>
        <w:adjustRightInd/>
        <w:snapToGrid/>
        <w:spacing w:line="520" w:lineRule="exact"/>
        <w:ind w:left="0" w:leftChars="0" w:firstLine="638" w:firstLineChars="228"/>
        <w:textAlignment w:val="auto"/>
        <w:outlineLvl w:val="0"/>
        <w:rPr>
          <w:rFonts w:hint="eastAsia" w:ascii="仿宋" w:hAnsi="仿宋" w:eastAsia="仿宋"/>
          <w:color w:val="auto"/>
          <w:sz w:val="28"/>
          <w:szCs w:val="28"/>
        </w:rPr>
      </w:pPr>
      <w:r>
        <w:rPr>
          <w:rFonts w:hint="eastAsia" w:ascii="仿宋" w:hAnsi="仿宋" w:eastAsia="仿宋"/>
          <w:color w:val="auto"/>
          <w:sz w:val="28"/>
          <w:szCs w:val="28"/>
          <w:u w:val="single"/>
        </w:rPr>
        <w:t xml:space="preserve">              </w:t>
      </w:r>
      <w:r>
        <w:rPr>
          <w:rFonts w:hint="eastAsia" w:ascii="仿宋" w:hAnsi="仿宋" w:eastAsia="仿宋"/>
          <w:color w:val="auto"/>
          <w:sz w:val="28"/>
          <w:szCs w:val="28"/>
        </w:rPr>
        <w:t>小区（楼、院）坐落于</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 xml:space="preserve"> ，本小区</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（已/未）成立业主委员</w:t>
      </w:r>
      <w:r>
        <w:rPr>
          <w:rFonts w:hint="eastAsia" w:ascii="仿宋" w:hAnsi="仿宋" w:eastAsia="仿宋" w:cs="Times New Roman"/>
          <w:color w:val="auto"/>
          <w:sz w:val="28"/>
          <w:szCs w:val="28"/>
        </w:rPr>
        <w:t>会</w:t>
      </w:r>
      <w:r>
        <w:rPr>
          <w:rFonts w:hint="eastAsia" w:ascii="仿宋" w:hAnsi="仿宋" w:eastAsia="仿宋" w:cs="Times New Roman"/>
          <w:color w:val="auto"/>
          <w:sz w:val="28"/>
          <w:szCs w:val="28"/>
          <w:lang w:val="en-US" w:eastAsia="zh-CN"/>
        </w:rPr>
        <w:t>/物业管理委员会，由</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（物业服务企业名称）负责物业管理工作</w:t>
      </w:r>
      <w:r>
        <w:rPr>
          <w:rFonts w:hint="eastAsia" w:ascii="仿宋" w:hAnsi="仿宋" w:eastAsia="仿宋"/>
          <w:color w:val="auto"/>
          <w:sz w:val="28"/>
          <w:szCs w:val="28"/>
          <w:u w:val="none"/>
          <w:lang w:eastAsia="zh-CN"/>
        </w:rPr>
        <w:t>，</w:t>
      </w:r>
      <w:r>
        <w:rPr>
          <w:rFonts w:hint="eastAsia" w:ascii="仿宋" w:hAnsi="仿宋" w:eastAsia="仿宋"/>
          <w:color w:val="auto"/>
          <w:sz w:val="28"/>
          <w:szCs w:val="28"/>
        </w:rPr>
        <w:t>本小区拟动用维修资金</w:t>
      </w:r>
      <w:r>
        <w:rPr>
          <w:rFonts w:hint="eastAsia" w:ascii="仿宋" w:hAnsi="仿宋" w:eastAsia="仿宋"/>
          <w:color w:val="auto"/>
          <w:sz w:val="28"/>
          <w:szCs w:val="28"/>
          <w:lang w:eastAsia="zh-CN"/>
        </w:rPr>
        <w:t>对</w:t>
      </w:r>
      <w:r>
        <w:rPr>
          <w:rFonts w:hint="eastAsia" w:ascii="仿宋" w:hAnsi="仿宋" w:eastAsia="仿宋"/>
          <w:color w:val="auto"/>
          <w:sz w:val="28"/>
          <w:szCs w:val="28"/>
          <w:lang w:val="en-US" w:eastAsia="zh-CN"/>
        </w:rPr>
        <w:t>已不在保修期内的</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u w:val="single"/>
        </w:rPr>
        <w:t xml:space="preserve">        </w:t>
      </w:r>
      <w:r>
        <w:rPr>
          <w:rFonts w:hint="eastAsia" w:ascii="仿宋" w:hAnsi="仿宋" w:eastAsia="仿宋"/>
          <w:color w:val="auto"/>
          <w:sz w:val="28"/>
          <w:szCs w:val="28"/>
          <w:u w:val="single"/>
          <w:lang w:val="en-US" w:eastAsia="zh-CN"/>
        </w:rPr>
        <w:t xml:space="preserve">             </w:t>
      </w:r>
      <w:r>
        <w:rPr>
          <w:rFonts w:hint="eastAsia" w:ascii="仿宋" w:hAnsi="仿宋" w:eastAsia="仿宋"/>
          <w:color w:val="auto"/>
          <w:sz w:val="28"/>
          <w:szCs w:val="28"/>
        </w:rPr>
        <w:t>进行维修和更新、改造。</w:t>
      </w:r>
    </w:p>
    <w:p w14:paraId="4732227C">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outlineLvl w:val="0"/>
        <w:rPr>
          <w:rFonts w:ascii="仿宋" w:hAnsi="仿宋" w:eastAsia="仿宋"/>
          <w:color w:val="auto"/>
          <w:sz w:val="28"/>
          <w:szCs w:val="28"/>
        </w:rPr>
      </w:pPr>
      <w:r>
        <w:rPr>
          <w:rFonts w:hint="eastAsia" w:ascii="仿宋" w:hAnsi="仿宋" w:eastAsia="仿宋"/>
          <w:color w:val="auto"/>
          <w:sz w:val="28"/>
          <w:szCs w:val="28"/>
        </w:rPr>
        <w:t>本次维修由</w:t>
      </w:r>
      <w:r>
        <w:rPr>
          <w:rFonts w:hint="eastAsia" w:ascii="仿宋" w:hAnsi="仿宋" w:eastAsia="仿宋"/>
          <w:color w:val="auto"/>
          <w:sz w:val="28"/>
          <w:szCs w:val="28"/>
          <w:u w:val="single"/>
        </w:rPr>
        <w:t xml:space="preserve">                  </w:t>
      </w:r>
      <w:r>
        <w:rPr>
          <w:rFonts w:hint="eastAsia" w:ascii="仿宋" w:hAnsi="仿宋" w:eastAsia="仿宋"/>
          <w:color w:val="auto"/>
          <w:sz w:val="28"/>
          <w:szCs w:val="28"/>
        </w:rPr>
        <w:t>作为</w:t>
      </w:r>
      <w:r>
        <w:rPr>
          <w:rFonts w:hint="eastAsia" w:ascii="仿宋" w:hAnsi="仿宋" w:eastAsia="仿宋"/>
          <w:color w:val="auto"/>
          <w:sz w:val="28"/>
          <w:szCs w:val="28"/>
          <w:lang w:eastAsia="zh-CN"/>
        </w:rPr>
        <w:t>申请人</w:t>
      </w:r>
      <w:r>
        <w:rPr>
          <w:rFonts w:hint="eastAsia" w:ascii="仿宋" w:hAnsi="仿宋" w:eastAsia="仿宋"/>
          <w:color w:val="auto"/>
          <w:sz w:val="28"/>
          <w:szCs w:val="28"/>
        </w:rPr>
        <w:t>，</w:t>
      </w:r>
      <w:r>
        <w:rPr>
          <w:rFonts w:hint="eastAsia" w:ascii="仿宋" w:hAnsi="仿宋" w:eastAsia="仿宋"/>
          <w:color w:val="auto"/>
          <w:sz w:val="28"/>
          <w:szCs w:val="28"/>
          <w:lang w:val="en-US" w:eastAsia="zh-CN"/>
        </w:rPr>
        <w:t>（ ）自行组织实施/（ ）委派物业服务企业代为组织实施</w:t>
      </w: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rPr>
        <w:t>费用从相关业主交存的房屋专项维修资金中列支</w:t>
      </w:r>
      <w:r>
        <w:rPr>
          <w:rFonts w:hint="eastAsia" w:ascii="仿宋" w:hAnsi="仿宋" w:eastAsia="仿宋"/>
          <w:color w:val="auto"/>
          <w:sz w:val="28"/>
          <w:szCs w:val="28"/>
        </w:rPr>
        <w:t>。</w:t>
      </w:r>
      <w:r>
        <w:rPr>
          <w:rFonts w:hint="eastAsia" w:ascii="仿宋" w:hAnsi="仿宋" w:eastAsia="仿宋"/>
          <w:color w:val="auto"/>
          <w:sz w:val="28"/>
          <w:szCs w:val="28"/>
          <w:lang w:val="en-US" w:eastAsia="zh-CN"/>
        </w:rPr>
        <w:t>现</w:t>
      </w:r>
      <w:r>
        <w:rPr>
          <w:rFonts w:hint="eastAsia" w:ascii="仿宋" w:hAnsi="仿宋" w:eastAsia="仿宋"/>
          <w:color w:val="auto"/>
          <w:sz w:val="28"/>
          <w:szCs w:val="28"/>
        </w:rPr>
        <w:t>制定方案如下:</w:t>
      </w:r>
    </w:p>
    <w:p w14:paraId="685419F1">
      <w:pPr>
        <w:spacing w:line="540" w:lineRule="exact"/>
        <w:ind w:firstLine="562" w:firstLineChars="200"/>
        <w:outlineLvl w:val="0"/>
        <w:rPr>
          <w:rFonts w:hint="eastAsia" w:ascii="仿宋" w:hAnsi="仿宋" w:eastAsia="仿宋" w:cs="仿宋"/>
          <w:b/>
          <w:bCs w:val="0"/>
          <w:color w:val="auto"/>
          <w:sz w:val="28"/>
          <w:szCs w:val="28"/>
        </w:rPr>
      </w:pPr>
      <w:r>
        <w:rPr>
          <w:rFonts w:hint="eastAsia" w:ascii="仿宋" w:hAnsi="仿宋" w:eastAsia="仿宋" w:cs="仿宋"/>
          <w:b/>
          <w:bCs w:val="0"/>
          <w:color w:val="auto"/>
          <w:sz w:val="28"/>
          <w:szCs w:val="28"/>
          <w:lang w:val="en-US" w:eastAsia="zh-CN"/>
        </w:rPr>
        <w:t>一、</w:t>
      </w:r>
      <w:r>
        <w:rPr>
          <w:rFonts w:hint="eastAsia" w:ascii="仿宋" w:hAnsi="仿宋" w:eastAsia="仿宋" w:cs="仿宋"/>
          <w:b/>
          <w:bCs w:val="0"/>
          <w:color w:val="auto"/>
          <w:sz w:val="28"/>
          <w:szCs w:val="28"/>
        </w:rPr>
        <w:t>维修和更新、改造项目预算</w:t>
      </w:r>
    </w:p>
    <w:tbl>
      <w:tblPr>
        <w:tblStyle w:val="4"/>
        <w:tblpPr w:leftFromText="180" w:rightFromText="180" w:vertAnchor="text" w:horzAnchor="margin" w:tblpX="86"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2385"/>
        <w:gridCol w:w="2598"/>
        <w:gridCol w:w="2300"/>
        <w:gridCol w:w="1933"/>
      </w:tblGrid>
      <w:tr w14:paraId="2F54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450" w:type="dxa"/>
            <w:tcBorders>
              <w:top w:val="single" w:color="auto" w:sz="12" w:space="0"/>
              <w:left w:val="single" w:color="auto" w:sz="12" w:space="0"/>
              <w:bottom w:val="single" w:color="auto" w:sz="12" w:space="0"/>
            </w:tcBorders>
            <w:noWrap w:val="0"/>
            <w:vAlign w:val="center"/>
          </w:tcPr>
          <w:p w14:paraId="17993E8F">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序</w:t>
            </w:r>
          </w:p>
          <w:p w14:paraId="484052E5">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号</w:t>
            </w:r>
          </w:p>
        </w:tc>
        <w:tc>
          <w:tcPr>
            <w:tcW w:w="2385" w:type="dxa"/>
            <w:tcBorders>
              <w:top w:val="single" w:color="auto" w:sz="12" w:space="0"/>
              <w:bottom w:val="single" w:color="auto" w:sz="12" w:space="0"/>
              <w:right w:val="single" w:color="auto" w:sz="8" w:space="0"/>
            </w:tcBorders>
            <w:noWrap w:val="0"/>
            <w:vAlign w:val="center"/>
          </w:tcPr>
          <w:p w14:paraId="3A211B7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项目位置及名称</w:t>
            </w:r>
          </w:p>
          <w:p w14:paraId="5CE2EE98">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品牌规格型号</w:t>
            </w:r>
          </w:p>
        </w:tc>
        <w:tc>
          <w:tcPr>
            <w:tcW w:w="2598" w:type="dxa"/>
            <w:tcBorders>
              <w:top w:val="single" w:color="auto" w:sz="12" w:space="0"/>
              <w:left w:val="single" w:color="auto" w:sz="8" w:space="0"/>
              <w:bottom w:val="single" w:color="auto" w:sz="12" w:space="0"/>
            </w:tcBorders>
            <w:noWrap w:val="0"/>
            <w:vAlign w:val="center"/>
          </w:tcPr>
          <w:p w14:paraId="1AB3D48C">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费用列支</w:t>
            </w:r>
          </w:p>
          <w:p w14:paraId="6742EC1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分摊范围</w:t>
            </w:r>
          </w:p>
        </w:tc>
        <w:tc>
          <w:tcPr>
            <w:tcW w:w="2300" w:type="dxa"/>
            <w:tcBorders>
              <w:top w:val="single" w:color="auto" w:sz="12" w:space="0"/>
              <w:bottom w:val="single" w:color="auto" w:sz="12" w:space="0"/>
            </w:tcBorders>
            <w:noWrap w:val="0"/>
            <w:vAlign w:val="center"/>
          </w:tcPr>
          <w:p w14:paraId="7EB27ED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预算工程量</w:t>
            </w:r>
          </w:p>
        </w:tc>
        <w:tc>
          <w:tcPr>
            <w:tcW w:w="1933" w:type="dxa"/>
            <w:tcBorders>
              <w:top w:val="single" w:color="auto" w:sz="12" w:space="0"/>
              <w:bottom w:val="single" w:color="auto" w:sz="12" w:space="0"/>
              <w:right w:val="single" w:color="auto" w:sz="12" w:space="0"/>
            </w:tcBorders>
            <w:noWrap w:val="0"/>
            <w:vAlign w:val="center"/>
          </w:tcPr>
          <w:p w14:paraId="0154F7C9">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预算金额（元）</w:t>
            </w:r>
          </w:p>
        </w:tc>
      </w:tr>
      <w:tr w14:paraId="4622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top w:val="single" w:color="auto" w:sz="12" w:space="0"/>
              <w:left w:val="single" w:color="auto" w:sz="12" w:space="0"/>
            </w:tcBorders>
            <w:noWrap w:val="0"/>
            <w:vAlign w:val="center"/>
          </w:tcPr>
          <w:p w14:paraId="16E9DDE8">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1</w:t>
            </w:r>
          </w:p>
        </w:tc>
        <w:tc>
          <w:tcPr>
            <w:tcW w:w="2385" w:type="dxa"/>
            <w:tcBorders>
              <w:top w:val="single" w:color="auto" w:sz="12" w:space="0"/>
              <w:right w:val="single" w:color="auto" w:sz="8" w:space="0"/>
            </w:tcBorders>
            <w:noWrap w:val="0"/>
            <w:vAlign w:val="center"/>
          </w:tcPr>
          <w:p w14:paraId="77B473E5">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c>
          <w:tcPr>
            <w:tcW w:w="2598" w:type="dxa"/>
            <w:tcBorders>
              <w:top w:val="single" w:color="auto" w:sz="12" w:space="0"/>
              <w:left w:val="single" w:color="auto" w:sz="8" w:space="0"/>
            </w:tcBorders>
            <w:noWrap w:val="0"/>
            <w:vAlign w:val="center"/>
          </w:tcPr>
          <w:p w14:paraId="01F2821F">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c>
          <w:tcPr>
            <w:tcW w:w="2300" w:type="dxa"/>
            <w:tcBorders>
              <w:top w:val="single" w:color="auto" w:sz="12" w:space="0"/>
            </w:tcBorders>
            <w:noWrap w:val="0"/>
            <w:vAlign w:val="center"/>
          </w:tcPr>
          <w:p w14:paraId="0FF80FE0">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c>
          <w:tcPr>
            <w:tcW w:w="1933" w:type="dxa"/>
            <w:tcBorders>
              <w:top w:val="single" w:color="auto" w:sz="12" w:space="0"/>
              <w:right w:val="single" w:color="auto" w:sz="12" w:space="0"/>
            </w:tcBorders>
            <w:noWrap w:val="0"/>
            <w:vAlign w:val="center"/>
          </w:tcPr>
          <w:p w14:paraId="61424535">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r>
      <w:tr w14:paraId="2562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left w:val="single" w:color="auto" w:sz="12" w:space="0"/>
            </w:tcBorders>
            <w:noWrap w:val="0"/>
            <w:vAlign w:val="center"/>
          </w:tcPr>
          <w:p w14:paraId="40A84AE0">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2</w:t>
            </w:r>
          </w:p>
        </w:tc>
        <w:tc>
          <w:tcPr>
            <w:tcW w:w="2385" w:type="dxa"/>
            <w:tcBorders>
              <w:right w:val="single" w:color="auto" w:sz="8" w:space="0"/>
            </w:tcBorders>
            <w:noWrap w:val="0"/>
            <w:vAlign w:val="center"/>
          </w:tcPr>
          <w:p w14:paraId="3DD70338">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c>
          <w:tcPr>
            <w:tcW w:w="2598" w:type="dxa"/>
            <w:tcBorders>
              <w:left w:val="single" w:color="auto" w:sz="8" w:space="0"/>
            </w:tcBorders>
            <w:noWrap w:val="0"/>
            <w:vAlign w:val="center"/>
          </w:tcPr>
          <w:p w14:paraId="12674B70">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c>
          <w:tcPr>
            <w:tcW w:w="2300" w:type="dxa"/>
            <w:noWrap w:val="0"/>
            <w:vAlign w:val="center"/>
          </w:tcPr>
          <w:p w14:paraId="68655C72">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c>
          <w:tcPr>
            <w:tcW w:w="1933" w:type="dxa"/>
            <w:tcBorders>
              <w:right w:val="single" w:color="auto" w:sz="12" w:space="0"/>
            </w:tcBorders>
            <w:noWrap w:val="0"/>
            <w:vAlign w:val="center"/>
          </w:tcPr>
          <w:p w14:paraId="48D3F952">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r>
      <w:tr w14:paraId="16F9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450" w:type="dxa"/>
            <w:tcBorders>
              <w:left w:val="single" w:color="auto" w:sz="12" w:space="0"/>
              <w:bottom w:val="single" w:color="auto" w:sz="12" w:space="0"/>
            </w:tcBorders>
            <w:noWrap w:val="0"/>
            <w:vAlign w:val="center"/>
          </w:tcPr>
          <w:p w14:paraId="02A74D74">
            <w:pPr>
              <w:keepNext w:val="0"/>
              <w:keepLines w:val="0"/>
              <w:pageBreakBefore w:val="0"/>
              <w:widowControl w:val="0"/>
              <w:kinsoku/>
              <w:wordWrap/>
              <w:overflowPunct/>
              <w:topLinePunct w:val="0"/>
              <w:autoSpaceDE/>
              <w:autoSpaceDN/>
              <w:bidi w:val="0"/>
              <w:adjustRightInd/>
              <w:snapToGrid/>
              <w:spacing w:line="960" w:lineRule="auto"/>
              <w:jc w:val="center"/>
              <w:textAlignment w:val="auto"/>
              <w:rPr>
                <w:rFonts w:hint="eastAsia" w:ascii="黑体" w:hAnsi="黑体" w:eastAsia="黑体" w:cs="黑体"/>
                <w:color w:val="auto"/>
                <w:sz w:val="24"/>
                <w:szCs w:val="24"/>
              </w:rPr>
            </w:pPr>
            <w:r>
              <w:rPr>
                <w:rFonts w:hint="eastAsia" w:ascii="黑体" w:hAnsi="黑体" w:eastAsia="黑体" w:cs="黑体"/>
                <w:color w:val="auto"/>
                <w:sz w:val="24"/>
                <w:szCs w:val="24"/>
              </w:rPr>
              <w:t>3</w:t>
            </w:r>
          </w:p>
        </w:tc>
        <w:tc>
          <w:tcPr>
            <w:tcW w:w="2385" w:type="dxa"/>
            <w:tcBorders>
              <w:bottom w:val="single" w:color="auto" w:sz="12" w:space="0"/>
              <w:right w:val="single" w:color="auto" w:sz="8" w:space="0"/>
            </w:tcBorders>
            <w:noWrap w:val="0"/>
            <w:vAlign w:val="center"/>
          </w:tcPr>
          <w:p w14:paraId="269B9CC0">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kern w:val="2"/>
                <w:sz w:val="24"/>
                <w:szCs w:val="24"/>
                <w:lang w:val="en-US" w:eastAsia="zh-CN" w:bidi="ar-SA"/>
              </w:rPr>
            </w:pPr>
          </w:p>
        </w:tc>
        <w:tc>
          <w:tcPr>
            <w:tcW w:w="2598" w:type="dxa"/>
            <w:tcBorders>
              <w:left w:val="single" w:color="auto" w:sz="8" w:space="0"/>
              <w:bottom w:val="single" w:color="auto" w:sz="12" w:space="0"/>
            </w:tcBorders>
            <w:noWrap w:val="0"/>
            <w:vAlign w:val="center"/>
          </w:tcPr>
          <w:p w14:paraId="209730B6">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kern w:val="2"/>
                <w:sz w:val="24"/>
                <w:szCs w:val="24"/>
                <w:lang w:val="en-US" w:eastAsia="zh-CN" w:bidi="ar-SA"/>
              </w:rPr>
            </w:pPr>
          </w:p>
        </w:tc>
        <w:tc>
          <w:tcPr>
            <w:tcW w:w="2300" w:type="dxa"/>
            <w:tcBorders>
              <w:bottom w:val="single" w:color="auto" w:sz="12" w:space="0"/>
            </w:tcBorders>
            <w:noWrap w:val="0"/>
            <w:vAlign w:val="center"/>
          </w:tcPr>
          <w:p w14:paraId="747475D6">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kern w:val="2"/>
                <w:sz w:val="24"/>
                <w:szCs w:val="24"/>
                <w:lang w:val="en-US" w:eastAsia="zh-CN" w:bidi="ar-SA"/>
              </w:rPr>
            </w:pPr>
          </w:p>
        </w:tc>
        <w:tc>
          <w:tcPr>
            <w:tcW w:w="1933" w:type="dxa"/>
            <w:tcBorders>
              <w:bottom w:val="single" w:color="auto" w:sz="12" w:space="0"/>
              <w:right w:val="single" w:color="auto" w:sz="12" w:space="0"/>
            </w:tcBorders>
            <w:noWrap w:val="0"/>
            <w:vAlign w:val="center"/>
          </w:tcPr>
          <w:p w14:paraId="3A4C3B32">
            <w:pPr>
              <w:keepNext w:val="0"/>
              <w:keepLines w:val="0"/>
              <w:pageBreakBefore w:val="0"/>
              <w:widowControl w:val="0"/>
              <w:kinsoku/>
              <w:wordWrap/>
              <w:overflowPunct/>
              <w:topLinePunct w:val="0"/>
              <w:autoSpaceDE/>
              <w:autoSpaceDN/>
              <w:bidi w:val="0"/>
              <w:adjustRightInd/>
              <w:snapToGrid/>
              <w:spacing w:line="960" w:lineRule="auto"/>
              <w:textAlignment w:val="auto"/>
              <w:rPr>
                <w:rFonts w:hint="eastAsia" w:ascii="黑体" w:hAnsi="黑体" w:eastAsia="黑体" w:cs="黑体"/>
                <w:color w:val="auto"/>
                <w:sz w:val="24"/>
                <w:szCs w:val="24"/>
              </w:rPr>
            </w:pPr>
          </w:p>
        </w:tc>
      </w:tr>
      <w:tr w14:paraId="0C2B4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450" w:type="dxa"/>
            <w:tcBorders>
              <w:left w:val="single" w:color="auto" w:sz="12" w:space="0"/>
            </w:tcBorders>
            <w:noWrap w:val="0"/>
            <w:vAlign w:val="center"/>
          </w:tcPr>
          <w:p w14:paraId="1BB37434">
            <w:pPr>
              <w:keepNext w:val="0"/>
              <w:keepLines w:val="0"/>
              <w:pageBreakBefore w:val="0"/>
              <w:widowControl w:val="0"/>
              <w:kinsoku/>
              <w:wordWrap/>
              <w:overflowPunct/>
              <w:topLinePunct w:val="0"/>
              <w:autoSpaceDE/>
              <w:autoSpaceDN/>
              <w:bidi w:val="0"/>
              <w:adjustRightInd/>
              <w:snapToGrid/>
              <w:spacing w:line="528" w:lineRule="auto"/>
              <w:jc w:val="center"/>
              <w:textAlignment w:val="auto"/>
              <w:rPr>
                <w:rFonts w:hint="eastAsia"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rPr>
              <w:t>4</w:t>
            </w:r>
          </w:p>
        </w:tc>
        <w:tc>
          <w:tcPr>
            <w:tcW w:w="2385" w:type="dxa"/>
            <w:tcBorders>
              <w:right w:val="single" w:color="auto" w:sz="8" w:space="0"/>
            </w:tcBorders>
            <w:noWrap w:val="0"/>
            <w:vAlign w:val="center"/>
          </w:tcPr>
          <w:p w14:paraId="5B89831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z w:val="24"/>
                <w:szCs w:val="24"/>
                <w:lang w:val="en-US" w:eastAsia="zh-CN"/>
              </w:rPr>
              <w:t>审价、招标、监理等聘请第三方机构费用</w:t>
            </w:r>
          </w:p>
        </w:tc>
        <w:tc>
          <w:tcPr>
            <w:tcW w:w="2598" w:type="dxa"/>
            <w:tcBorders>
              <w:left w:val="single" w:color="auto" w:sz="8" w:space="0"/>
            </w:tcBorders>
            <w:noWrap w:val="0"/>
            <w:vAlign w:val="center"/>
          </w:tcPr>
          <w:p w14:paraId="68CAFDD3">
            <w:pPr>
              <w:keepNext w:val="0"/>
              <w:keepLines w:val="0"/>
              <w:pageBreakBefore w:val="0"/>
              <w:widowControl w:val="0"/>
              <w:kinsoku/>
              <w:wordWrap/>
              <w:overflowPunct/>
              <w:topLinePunct w:val="0"/>
              <w:autoSpaceDE/>
              <w:autoSpaceDN/>
              <w:bidi w:val="0"/>
              <w:adjustRightInd/>
              <w:snapToGrid/>
              <w:spacing w:line="528" w:lineRule="auto"/>
              <w:textAlignment w:val="auto"/>
              <w:rPr>
                <w:rFonts w:hint="eastAsia" w:ascii="黑体" w:hAnsi="黑体" w:eastAsia="黑体" w:cs="黑体"/>
                <w:color w:val="auto"/>
                <w:kern w:val="2"/>
                <w:sz w:val="24"/>
                <w:szCs w:val="24"/>
                <w:lang w:val="en-US" w:eastAsia="zh-CN" w:bidi="ar-SA"/>
              </w:rPr>
            </w:pPr>
          </w:p>
        </w:tc>
        <w:tc>
          <w:tcPr>
            <w:tcW w:w="2300" w:type="dxa"/>
            <w:noWrap w:val="0"/>
            <w:vAlign w:val="center"/>
          </w:tcPr>
          <w:p w14:paraId="76025061">
            <w:pPr>
              <w:keepNext w:val="0"/>
              <w:keepLines w:val="0"/>
              <w:pageBreakBefore w:val="0"/>
              <w:widowControl w:val="0"/>
              <w:kinsoku/>
              <w:wordWrap/>
              <w:overflowPunct/>
              <w:topLinePunct w:val="0"/>
              <w:autoSpaceDE/>
              <w:autoSpaceDN/>
              <w:bidi w:val="0"/>
              <w:adjustRightInd/>
              <w:snapToGrid/>
              <w:spacing w:line="528" w:lineRule="auto"/>
              <w:textAlignment w:val="auto"/>
              <w:rPr>
                <w:rFonts w:hint="eastAsia" w:ascii="黑体" w:hAnsi="黑体" w:eastAsia="黑体" w:cs="黑体"/>
                <w:color w:val="auto"/>
                <w:sz w:val="24"/>
                <w:szCs w:val="24"/>
              </w:rPr>
            </w:pPr>
          </w:p>
        </w:tc>
        <w:tc>
          <w:tcPr>
            <w:tcW w:w="1933" w:type="dxa"/>
            <w:tcBorders>
              <w:right w:val="single" w:color="auto" w:sz="12" w:space="0"/>
            </w:tcBorders>
            <w:noWrap w:val="0"/>
            <w:vAlign w:val="center"/>
          </w:tcPr>
          <w:p w14:paraId="08B5A8FE">
            <w:pPr>
              <w:keepNext w:val="0"/>
              <w:keepLines w:val="0"/>
              <w:pageBreakBefore w:val="0"/>
              <w:widowControl w:val="0"/>
              <w:kinsoku/>
              <w:wordWrap/>
              <w:overflowPunct/>
              <w:topLinePunct w:val="0"/>
              <w:autoSpaceDE/>
              <w:autoSpaceDN/>
              <w:bidi w:val="0"/>
              <w:adjustRightInd/>
              <w:snapToGrid/>
              <w:spacing w:line="528" w:lineRule="auto"/>
              <w:textAlignment w:val="auto"/>
              <w:rPr>
                <w:rFonts w:hint="eastAsia" w:ascii="黑体" w:hAnsi="黑体" w:eastAsia="黑体" w:cs="黑体"/>
                <w:color w:val="auto"/>
                <w:sz w:val="24"/>
                <w:szCs w:val="24"/>
              </w:rPr>
            </w:pPr>
          </w:p>
        </w:tc>
      </w:tr>
      <w:tr w14:paraId="4D40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450" w:type="dxa"/>
            <w:tcBorders>
              <w:left w:val="single" w:color="auto" w:sz="12" w:space="0"/>
              <w:bottom w:val="single" w:color="auto" w:sz="12" w:space="0"/>
            </w:tcBorders>
            <w:noWrap w:val="0"/>
            <w:vAlign w:val="center"/>
          </w:tcPr>
          <w:p w14:paraId="0BDD0E4C">
            <w:pPr>
              <w:spacing w:line="540" w:lineRule="exact"/>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z w:val="24"/>
                <w:szCs w:val="24"/>
              </w:rPr>
              <w:t>总额</w:t>
            </w:r>
          </w:p>
        </w:tc>
        <w:tc>
          <w:tcPr>
            <w:tcW w:w="7283" w:type="dxa"/>
            <w:gridSpan w:val="3"/>
            <w:tcBorders>
              <w:bottom w:val="single" w:color="auto" w:sz="12" w:space="0"/>
            </w:tcBorders>
            <w:noWrap w:val="0"/>
            <w:vAlign w:val="center"/>
          </w:tcPr>
          <w:p w14:paraId="2F003BF2">
            <w:pPr>
              <w:spacing w:line="540" w:lineRule="exact"/>
              <w:rPr>
                <w:rFonts w:hint="eastAsia" w:ascii="黑体" w:hAnsi="黑体" w:eastAsia="黑体" w:cs="黑体"/>
                <w:color w:val="auto"/>
                <w:kern w:val="2"/>
                <w:sz w:val="24"/>
                <w:szCs w:val="24"/>
                <w:lang w:val="en-US" w:eastAsia="zh-CN" w:bidi="ar-SA"/>
              </w:rPr>
            </w:pPr>
            <w:r>
              <w:rPr>
                <w:rFonts w:hint="eastAsia" w:ascii="黑体" w:hAnsi="黑体" w:eastAsia="黑体" w:cs="黑体"/>
                <w:color w:val="auto"/>
                <w:spacing w:val="-20"/>
                <w:sz w:val="24"/>
                <w:szCs w:val="24"/>
              </w:rPr>
              <w:t>人民币（大写）</w:t>
            </w:r>
            <w:r>
              <w:rPr>
                <w:rFonts w:hint="eastAsia" w:ascii="黑体" w:hAnsi="黑体" w:eastAsia="黑体" w:cs="黑体"/>
                <w:color w:val="auto"/>
                <w:sz w:val="24"/>
                <w:szCs w:val="24"/>
              </w:rPr>
              <w:t xml:space="preserve">   佰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拾</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万</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仟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佰</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拾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元</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角 </w:t>
            </w:r>
            <w:r>
              <w:rPr>
                <w:rFonts w:hint="eastAsia" w:ascii="黑体" w:hAnsi="黑体" w:eastAsia="黑体" w:cs="黑体"/>
                <w:color w:val="auto"/>
                <w:sz w:val="24"/>
                <w:szCs w:val="24"/>
                <w:lang w:val="en-US" w:eastAsia="zh-CN"/>
              </w:rPr>
              <w:t xml:space="preserve"> </w:t>
            </w:r>
            <w:r>
              <w:rPr>
                <w:rFonts w:hint="eastAsia" w:ascii="黑体" w:hAnsi="黑体" w:eastAsia="黑体" w:cs="黑体"/>
                <w:color w:val="auto"/>
                <w:sz w:val="24"/>
                <w:szCs w:val="24"/>
              </w:rPr>
              <w:t xml:space="preserve"> 分 </w:t>
            </w:r>
          </w:p>
        </w:tc>
        <w:tc>
          <w:tcPr>
            <w:tcW w:w="1933" w:type="dxa"/>
            <w:tcBorders>
              <w:bottom w:val="single" w:color="auto" w:sz="12" w:space="0"/>
              <w:right w:val="single" w:color="auto" w:sz="12" w:space="0"/>
            </w:tcBorders>
            <w:noWrap w:val="0"/>
            <w:vAlign w:val="center"/>
          </w:tcPr>
          <w:p w14:paraId="4AD171C8">
            <w:pPr>
              <w:spacing w:line="540" w:lineRule="exact"/>
              <w:rPr>
                <w:rFonts w:hint="eastAsia" w:ascii="黑体" w:hAnsi="黑体" w:eastAsia="黑体" w:cs="黑体"/>
                <w:color w:val="auto"/>
                <w:spacing w:val="-20"/>
                <w:sz w:val="24"/>
                <w:szCs w:val="24"/>
              </w:rPr>
            </w:pPr>
            <w:r>
              <w:rPr>
                <w:rFonts w:hint="eastAsia" w:ascii="黑体" w:hAnsi="黑体" w:eastAsia="黑体" w:cs="黑体"/>
                <w:color w:val="auto"/>
                <w:spacing w:val="-20"/>
                <w:sz w:val="24"/>
                <w:szCs w:val="24"/>
              </w:rPr>
              <w:t>（小写）</w:t>
            </w:r>
          </w:p>
          <w:p w14:paraId="6567C861">
            <w:pPr>
              <w:spacing w:line="540" w:lineRule="exact"/>
              <w:rPr>
                <w:rFonts w:hint="eastAsia" w:ascii="黑体" w:hAnsi="黑体" w:eastAsia="黑体" w:cs="黑体"/>
                <w:color w:val="auto"/>
                <w:sz w:val="24"/>
                <w:szCs w:val="24"/>
              </w:rPr>
            </w:pPr>
            <w:r>
              <w:rPr>
                <w:rFonts w:hint="eastAsia" w:ascii="黑体" w:hAnsi="黑体" w:eastAsia="黑体" w:cs="黑体"/>
                <w:color w:val="auto"/>
                <w:sz w:val="24"/>
                <w:szCs w:val="24"/>
              </w:rPr>
              <w:t>￥</w:t>
            </w:r>
          </w:p>
        </w:tc>
      </w:tr>
    </w:tbl>
    <w:p w14:paraId="50DBC22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2"/>
          <w:szCs w:val="22"/>
        </w:rPr>
        <w:t>注：项目较为复杂的，请在上表中简要填写</w:t>
      </w:r>
      <w:r>
        <w:rPr>
          <w:rFonts w:hint="eastAsia" w:ascii="仿宋" w:hAnsi="仿宋" w:eastAsia="仿宋" w:cs="仿宋"/>
          <w:color w:val="auto"/>
          <w:sz w:val="22"/>
          <w:szCs w:val="22"/>
          <w:lang w:eastAsia="zh-CN"/>
        </w:rPr>
        <w:t>主要</w:t>
      </w:r>
      <w:r>
        <w:rPr>
          <w:rFonts w:hint="eastAsia" w:ascii="仿宋" w:hAnsi="仿宋" w:eastAsia="仿宋" w:cs="仿宋"/>
          <w:color w:val="auto"/>
          <w:sz w:val="22"/>
          <w:szCs w:val="22"/>
        </w:rPr>
        <w:t>内容</w:t>
      </w:r>
      <w:r>
        <w:rPr>
          <w:rFonts w:hint="eastAsia" w:ascii="仿宋" w:hAnsi="仿宋" w:eastAsia="仿宋" w:cs="仿宋"/>
          <w:color w:val="auto"/>
          <w:sz w:val="22"/>
          <w:szCs w:val="22"/>
          <w:lang w:eastAsia="zh-CN"/>
        </w:rPr>
        <w:t>后</w:t>
      </w:r>
      <w:r>
        <w:rPr>
          <w:rFonts w:hint="eastAsia" w:ascii="仿宋" w:hAnsi="仿宋" w:eastAsia="仿宋" w:cs="仿宋"/>
          <w:color w:val="auto"/>
          <w:sz w:val="22"/>
          <w:szCs w:val="22"/>
        </w:rPr>
        <w:t>另附清单或明细，附表需</w:t>
      </w:r>
      <w:r>
        <w:rPr>
          <w:rFonts w:hint="eastAsia" w:ascii="仿宋" w:hAnsi="仿宋" w:eastAsia="仿宋" w:cs="仿宋"/>
          <w:color w:val="auto"/>
          <w:sz w:val="22"/>
          <w:szCs w:val="22"/>
          <w:lang w:eastAsia="zh-CN"/>
        </w:rPr>
        <w:t>申请人</w:t>
      </w:r>
      <w:r>
        <w:rPr>
          <w:rFonts w:hint="eastAsia" w:ascii="仿宋" w:hAnsi="仿宋" w:eastAsia="仿宋" w:cs="仿宋"/>
          <w:color w:val="auto"/>
          <w:sz w:val="22"/>
          <w:szCs w:val="22"/>
        </w:rPr>
        <w:t>和委派物业服务企业共同盖章确认；填写后有空白的，请划斜线</w:t>
      </w:r>
      <w:r>
        <w:rPr>
          <w:rFonts w:hint="eastAsia" w:ascii="仿宋" w:hAnsi="仿宋" w:eastAsia="仿宋" w:cs="仿宋"/>
          <w:color w:val="auto"/>
          <w:sz w:val="24"/>
          <w:szCs w:val="24"/>
        </w:rPr>
        <w:t>）</w:t>
      </w:r>
    </w:p>
    <w:p w14:paraId="2933B923">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top"/>
        <w:outlineLvl w:val="0"/>
        <w:rPr>
          <w:rFonts w:hint="eastAsia" w:ascii="仿宋" w:hAnsi="仿宋" w:eastAsia="仿宋" w:cs="仿宋"/>
          <w:b/>
          <w:color w:val="auto"/>
          <w:sz w:val="28"/>
          <w:szCs w:val="28"/>
        </w:rPr>
      </w:pPr>
      <w:r>
        <w:rPr>
          <w:rFonts w:hint="eastAsia" w:ascii="仿宋" w:hAnsi="仿宋" w:eastAsia="仿宋" w:cs="仿宋"/>
          <w:b/>
          <w:color w:val="auto"/>
          <w:sz w:val="28"/>
          <w:szCs w:val="28"/>
          <w:lang w:val="en-US" w:eastAsia="zh-CN"/>
        </w:rPr>
        <w:t>二</w:t>
      </w:r>
      <w:r>
        <w:rPr>
          <w:rFonts w:hint="eastAsia" w:ascii="仿宋" w:hAnsi="仿宋" w:eastAsia="仿宋" w:cs="仿宋"/>
          <w:b/>
          <w:color w:val="auto"/>
          <w:sz w:val="28"/>
          <w:szCs w:val="28"/>
        </w:rPr>
        <w:t>、</w:t>
      </w:r>
      <w:r>
        <w:rPr>
          <w:rFonts w:hint="eastAsia" w:ascii="仿宋" w:hAnsi="仿宋" w:eastAsia="仿宋" w:cs="仿宋"/>
          <w:b/>
          <w:color w:val="auto"/>
          <w:sz w:val="28"/>
          <w:szCs w:val="28"/>
          <w:lang w:val="en-US" w:eastAsia="zh-CN"/>
        </w:rPr>
        <w:t>工程价格确认</w:t>
      </w:r>
      <w:r>
        <w:rPr>
          <w:rFonts w:hint="eastAsia" w:ascii="仿宋" w:hAnsi="仿宋" w:eastAsia="仿宋" w:cs="仿宋"/>
          <w:b/>
          <w:color w:val="auto"/>
          <w:sz w:val="28"/>
          <w:szCs w:val="28"/>
        </w:rPr>
        <w:t>及施工单位选择</w:t>
      </w:r>
    </w:p>
    <w:p w14:paraId="40E5423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outlineLvl w:val="0"/>
        <w:rPr>
          <w:rFonts w:hint="default" w:ascii="仿宋" w:hAnsi="仿宋" w:eastAsia="仿宋" w:cs="仿宋"/>
          <w:color w:val="auto"/>
          <w:sz w:val="28"/>
          <w:szCs w:val="28"/>
          <w:u w:val="none"/>
          <w:lang w:val="en-US" w:eastAsia="zh-CN"/>
        </w:rPr>
      </w:pPr>
      <w:r>
        <w:rPr>
          <w:rFonts w:hint="eastAsia" w:ascii="仿宋" w:hAnsi="仿宋" w:eastAsia="仿宋" w:cs="仿宋"/>
          <w:color w:val="auto"/>
          <w:sz w:val="28"/>
          <w:szCs w:val="28"/>
          <w:lang w:val="en-US" w:eastAsia="zh-CN"/>
        </w:rPr>
        <w:t>本次维修的预算</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（委托/不委托）专业机构进行审价，</w:t>
      </w:r>
      <w:r>
        <w:rPr>
          <w:rFonts w:hint="eastAsia" w:ascii="仿宋" w:hAnsi="仿宋" w:eastAsia="仿宋" w:cs="仿宋"/>
          <w:color w:val="auto"/>
          <w:sz w:val="28"/>
          <w:szCs w:val="28"/>
          <w:u w:val="single"/>
          <w:lang w:val="en-US" w:eastAsia="zh-CN"/>
        </w:rPr>
        <w:t xml:space="preserve">   </w:t>
      </w:r>
    </w:p>
    <w:p w14:paraId="2C62EA9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top"/>
        <w:outlineLvl w:val="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（审价、招标、监理等第三方机构）的费用计入维修和更新、改造成本，在维修资金中列支，由相关业主分摊。</w:t>
      </w:r>
    </w:p>
    <w:p w14:paraId="2D859A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outlineLvl w:val="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维修项目预算金额1万元以上的，应当交由审价机构审价。申请人将《维修前核查确认记录》、《方案》等相关材料发送</w:t>
      </w:r>
      <w:r>
        <w:rPr>
          <w:rFonts w:hint="eastAsia" w:ascii="仿宋" w:hAnsi="仿宋" w:eastAsia="仿宋" w:cs="仿宋"/>
          <w:color w:val="auto"/>
          <w:sz w:val="28"/>
          <w:szCs w:val="28"/>
          <w:lang w:val="en-US" w:eastAsia="zh-CN"/>
        </w:rPr>
        <w:t>给</w:t>
      </w:r>
      <w:r>
        <w:rPr>
          <w:rFonts w:hint="eastAsia" w:ascii="仿宋" w:hAnsi="仿宋" w:eastAsia="仿宋" w:cs="仿宋"/>
          <w:color w:val="auto"/>
          <w:sz w:val="28"/>
          <w:szCs w:val="28"/>
          <w:lang w:val="en-US" w:eastAsia="zh-CN"/>
        </w:rPr>
        <w:t>自行选定的审价机构进行价格审定，出具审价或预算报告。预算金额1万元以下的，可以</w:t>
      </w:r>
      <w:r>
        <w:rPr>
          <w:rFonts w:hint="eastAsia" w:ascii="仿宋" w:hAnsi="仿宋" w:eastAsia="仿宋" w:cs="仿宋"/>
          <w:color w:val="auto"/>
          <w:sz w:val="28"/>
          <w:szCs w:val="28"/>
          <w:lang w:val="en-US" w:eastAsia="zh-CN"/>
        </w:rPr>
        <w:t>进行审价</w:t>
      </w:r>
      <w:r>
        <w:rPr>
          <w:rFonts w:hint="eastAsia" w:ascii="仿宋" w:hAnsi="仿宋" w:eastAsia="仿宋" w:cs="仿宋"/>
          <w:color w:val="auto"/>
          <w:sz w:val="28"/>
          <w:szCs w:val="28"/>
          <w:lang w:val="en-US" w:eastAsia="zh-CN"/>
        </w:rPr>
        <w:t>，也可以参考市场同期同类价格</w:t>
      </w:r>
      <w:r>
        <w:rPr>
          <w:rFonts w:hint="eastAsia" w:ascii="仿宋" w:hAnsi="仿宋" w:eastAsia="仿宋" w:cs="仿宋"/>
          <w:color w:val="auto"/>
          <w:sz w:val="28"/>
          <w:szCs w:val="28"/>
          <w:lang w:val="en-US" w:eastAsia="zh-CN"/>
        </w:rPr>
        <w:t>直接</w:t>
      </w:r>
      <w:r>
        <w:rPr>
          <w:rFonts w:hint="eastAsia" w:ascii="仿宋" w:hAnsi="仿宋" w:eastAsia="仿宋" w:cs="仿宋"/>
          <w:color w:val="auto"/>
          <w:sz w:val="28"/>
          <w:szCs w:val="28"/>
          <w:lang w:val="en-US" w:eastAsia="zh-CN"/>
        </w:rPr>
        <w:t>确定。</w:t>
      </w:r>
    </w:p>
    <w:p w14:paraId="170BEB27">
      <w:pPr>
        <w:keepNext w:val="0"/>
        <w:keepLines w:val="0"/>
        <w:pageBreakBefore w:val="0"/>
        <w:widowControl w:val="0"/>
        <w:kinsoku/>
        <w:wordWrap/>
        <w:overflowPunct/>
        <w:topLinePunct w:val="0"/>
        <w:autoSpaceDE/>
        <w:autoSpaceDN/>
        <w:bidi w:val="0"/>
        <w:adjustRightInd/>
        <w:snapToGrid/>
        <w:spacing w:line="520" w:lineRule="exact"/>
        <w:ind w:firstLine="640"/>
        <w:textAlignment w:val="top"/>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本次维修项目</w:t>
      </w:r>
      <w:r>
        <w:rPr>
          <w:rFonts w:hint="eastAsia" w:ascii="仿宋" w:hAnsi="仿宋" w:eastAsia="仿宋" w:cs="仿宋"/>
          <w:color w:val="auto"/>
          <w:sz w:val="28"/>
          <w:szCs w:val="28"/>
        </w:rPr>
        <w:t>采取</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rPr>
        <w:t>招标、比选</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竞价/</w:t>
      </w:r>
      <w:r>
        <w:rPr>
          <w:rFonts w:hint="eastAsia" w:ascii="仿宋" w:hAnsi="仿宋" w:eastAsia="仿宋" w:cs="仿宋"/>
          <w:color w:val="auto"/>
          <w:sz w:val="28"/>
          <w:szCs w:val="28"/>
          <w:u w:val="single"/>
          <w:lang w:val="en-US" w:eastAsia="zh-CN"/>
        </w:rPr>
        <w:t>不足一万直接确定</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的</w:t>
      </w:r>
      <w:r>
        <w:rPr>
          <w:rFonts w:hint="eastAsia" w:ascii="仿宋" w:hAnsi="仿宋" w:eastAsia="仿宋" w:cs="仿宋"/>
          <w:color w:val="auto"/>
          <w:sz w:val="28"/>
          <w:szCs w:val="28"/>
        </w:rPr>
        <w:t>方式确定</w:t>
      </w:r>
      <w:r>
        <w:rPr>
          <w:rFonts w:hint="eastAsia" w:ascii="仿宋" w:hAnsi="仿宋" w:eastAsia="仿宋" w:cs="仿宋"/>
          <w:color w:val="auto"/>
          <w:sz w:val="28"/>
          <w:szCs w:val="28"/>
          <w:lang w:eastAsia="zh-CN"/>
        </w:rPr>
        <w:t>有相应资质的</w:t>
      </w:r>
      <w:r>
        <w:rPr>
          <w:rFonts w:hint="eastAsia" w:ascii="仿宋" w:hAnsi="仿宋" w:eastAsia="仿宋" w:cs="仿宋"/>
          <w:color w:val="auto"/>
          <w:sz w:val="28"/>
          <w:szCs w:val="28"/>
        </w:rPr>
        <w:t>施工单位，</w:t>
      </w:r>
      <w:r>
        <w:rPr>
          <w:rFonts w:hint="eastAsia" w:ascii="仿宋" w:hAnsi="仿宋" w:eastAsia="仿宋" w:cs="仿宋"/>
          <w:color w:val="auto"/>
          <w:sz w:val="28"/>
          <w:szCs w:val="28"/>
          <w:lang w:eastAsia="zh-CN"/>
        </w:rPr>
        <w:t>确定的过程有业主代表参与，</w:t>
      </w:r>
      <w:r>
        <w:rPr>
          <w:rFonts w:hint="eastAsia" w:ascii="仿宋" w:hAnsi="仿宋" w:eastAsia="仿宋" w:cs="仿宋"/>
          <w:color w:val="auto"/>
          <w:sz w:val="28"/>
          <w:szCs w:val="28"/>
          <w:lang w:val="en-US" w:eastAsia="zh-CN"/>
        </w:rPr>
        <w:t>施工单位确定后应当向相关业主充分公示，</w:t>
      </w:r>
      <w:r>
        <w:rPr>
          <w:rFonts w:hint="eastAsia" w:ascii="仿宋" w:hAnsi="仿宋" w:eastAsia="仿宋" w:cs="仿宋"/>
          <w:color w:val="auto"/>
          <w:sz w:val="28"/>
          <w:szCs w:val="28"/>
          <w:lang w:val="en-US" w:eastAsia="zh-CN"/>
        </w:rPr>
        <w:t>并</w:t>
      </w:r>
      <w:r>
        <w:rPr>
          <w:rFonts w:hint="eastAsia" w:ascii="仿宋" w:hAnsi="仿宋" w:eastAsia="仿宋" w:cs="仿宋"/>
          <w:strike w:val="0"/>
          <w:dstrike w:val="0"/>
          <w:color w:val="auto"/>
          <w:sz w:val="28"/>
          <w:szCs w:val="28"/>
          <w:lang w:val="en-US" w:eastAsia="zh-CN"/>
        </w:rPr>
        <w:t>及时</w:t>
      </w:r>
      <w:r>
        <w:rPr>
          <w:rFonts w:hint="eastAsia" w:ascii="仿宋" w:hAnsi="仿宋" w:eastAsia="仿宋" w:cs="仿宋"/>
          <w:color w:val="auto"/>
          <w:sz w:val="28"/>
          <w:szCs w:val="28"/>
          <w:lang w:val="en-US" w:eastAsia="zh-CN"/>
        </w:rPr>
        <w:t>与施工单位签订《施工合同》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施工过程</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（委托/不委托）监理机构进行监理</w:t>
      </w:r>
      <w:r>
        <w:rPr>
          <w:rFonts w:hint="eastAsia" w:ascii="仿宋" w:hAnsi="仿宋" w:eastAsia="仿宋" w:cs="仿宋"/>
          <w:color w:val="auto"/>
          <w:sz w:val="28"/>
          <w:szCs w:val="28"/>
          <w:lang w:val="en-US" w:eastAsia="zh-CN"/>
        </w:rPr>
        <w:t>。</w:t>
      </w:r>
    </w:p>
    <w:p w14:paraId="4719B4CF">
      <w:pPr>
        <w:keepNext w:val="0"/>
        <w:keepLines w:val="0"/>
        <w:pageBreakBefore w:val="0"/>
        <w:widowControl w:val="0"/>
        <w:kinsoku/>
        <w:wordWrap/>
        <w:overflowPunct/>
        <w:topLinePunct w:val="0"/>
        <w:autoSpaceDE/>
        <w:autoSpaceDN/>
        <w:bidi w:val="0"/>
        <w:adjustRightInd/>
        <w:snapToGrid/>
        <w:spacing w:line="520" w:lineRule="exact"/>
        <w:ind w:firstLine="600"/>
        <w:textAlignment w:val="top"/>
        <w:outlineLvl w:val="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三、工程施工</w:t>
      </w:r>
    </w:p>
    <w:p w14:paraId="570F98D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top"/>
        <w:rPr>
          <w:rFonts w:hint="eastAsia" w:ascii="仿宋" w:hAnsi="仿宋" w:eastAsia="仿宋" w:cs="仿宋"/>
          <w:color w:val="auto"/>
          <w:sz w:val="28"/>
          <w:szCs w:val="28"/>
        </w:rPr>
      </w:pPr>
      <w:r>
        <w:rPr>
          <w:rFonts w:hint="eastAsia" w:ascii="仿宋" w:hAnsi="仿宋" w:eastAsia="仿宋" w:cs="仿宋"/>
          <w:color w:val="auto"/>
          <w:sz w:val="28"/>
          <w:szCs w:val="28"/>
        </w:rPr>
        <w:t>《施工合同》签订后，</w:t>
      </w:r>
      <w:r>
        <w:rPr>
          <w:rFonts w:hint="eastAsia" w:ascii="仿宋" w:hAnsi="仿宋" w:eastAsia="仿宋" w:cs="仿宋"/>
          <w:color w:val="auto"/>
          <w:sz w:val="28"/>
          <w:szCs w:val="28"/>
          <w:lang w:eastAsia="zh-CN"/>
        </w:rPr>
        <w:t>申请人</w:t>
      </w:r>
      <w:r>
        <w:rPr>
          <w:rFonts w:hint="eastAsia" w:ascii="仿宋" w:hAnsi="仿宋" w:eastAsia="仿宋" w:cs="仿宋"/>
          <w:color w:val="auto"/>
          <w:sz w:val="28"/>
          <w:szCs w:val="28"/>
          <w:lang w:val="en-US" w:eastAsia="zh-CN"/>
        </w:rPr>
        <w:t>或受委派的物业服务企业</w:t>
      </w:r>
      <w:r>
        <w:rPr>
          <w:rFonts w:hint="eastAsia" w:ascii="仿宋" w:hAnsi="仿宋" w:eastAsia="仿宋" w:cs="仿宋"/>
          <w:color w:val="auto"/>
          <w:sz w:val="28"/>
          <w:szCs w:val="28"/>
        </w:rPr>
        <w:t>及时组织施工单位施工。施工过程中，如果有主要材料发生</w:t>
      </w:r>
      <w:r>
        <w:rPr>
          <w:rFonts w:hint="eastAsia" w:ascii="仿宋" w:hAnsi="仿宋" w:eastAsia="仿宋" w:cs="仿宋"/>
          <w:color w:val="auto"/>
          <w:sz w:val="28"/>
          <w:szCs w:val="28"/>
          <w:lang w:eastAsia="zh-CN"/>
        </w:rPr>
        <w:t>变更，</w:t>
      </w:r>
      <w:r>
        <w:rPr>
          <w:rFonts w:hint="eastAsia" w:ascii="仿宋" w:hAnsi="仿宋" w:eastAsia="仿宋" w:cs="仿宋"/>
          <w:color w:val="auto"/>
          <w:sz w:val="28"/>
          <w:szCs w:val="28"/>
          <w:lang w:val="en-US" w:eastAsia="zh-CN"/>
        </w:rPr>
        <w:t>所变更</w:t>
      </w:r>
      <w:r>
        <w:rPr>
          <w:rFonts w:hint="eastAsia" w:ascii="仿宋" w:hAnsi="仿宋" w:eastAsia="仿宋" w:cs="仿宋"/>
          <w:color w:val="auto"/>
          <w:sz w:val="28"/>
          <w:szCs w:val="28"/>
          <w:lang w:eastAsia="zh-CN"/>
        </w:rPr>
        <w:t>的材质、性能不得低于原计划材料，且费用不</w:t>
      </w:r>
      <w:bookmarkStart w:id="0" w:name="_GoBack"/>
      <w:bookmarkEnd w:id="0"/>
      <w:r>
        <w:rPr>
          <w:rFonts w:hint="eastAsia" w:ascii="仿宋" w:hAnsi="仿宋" w:eastAsia="仿宋" w:cs="仿宋"/>
          <w:color w:val="auto"/>
          <w:sz w:val="28"/>
          <w:szCs w:val="28"/>
          <w:lang w:eastAsia="zh-CN"/>
        </w:rPr>
        <w:t>能增加</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申请人</w:t>
      </w:r>
      <w:r>
        <w:rPr>
          <w:rFonts w:hint="eastAsia" w:ascii="仿宋" w:hAnsi="仿宋" w:eastAsia="仿宋" w:cs="仿宋"/>
          <w:color w:val="auto"/>
          <w:sz w:val="28"/>
          <w:szCs w:val="28"/>
        </w:rPr>
        <w:t>应</w:t>
      </w:r>
      <w:r>
        <w:rPr>
          <w:rFonts w:hint="eastAsia" w:ascii="仿宋" w:hAnsi="仿宋" w:eastAsia="仿宋" w:cs="仿宋"/>
          <w:color w:val="auto"/>
          <w:sz w:val="28"/>
          <w:szCs w:val="28"/>
          <w:lang w:eastAsia="zh-CN"/>
        </w:rPr>
        <w:t>对材料变更</w:t>
      </w:r>
      <w:r>
        <w:rPr>
          <w:rFonts w:hint="eastAsia" w:ascii="仿宋" w:hAnsi="仿宋" w:eastAsia="仿宋" w:cs="仿宋"/>
          <w:color w:val="auto"/>
          <w:sz w:val="28"/>
          <w:szCs w:val="28"/>
        </w:rPr>
        <w:t>进行书面签字盖章确认</w:t>
      </w:r>
      <w:r>
        <w:rPr>
          <w:rFonts w:hint="eastAsia" w:ascii="仿宋" w:hAnsi="仿宋" w:eastAsia="仿宋" w:cs="仿宋"/>
          <w:color w:val="auto"/>
          <w:sz w:val="28"/>
          <w:szCs w:val="28"/>
          <w:lang w:eastAsia="zh-CN"/>
        </w:rPr>
        <w:t>，并即时向业主公示。</w:t>
      </w:r>
      <w:r>
        <w:rPr>
          <w:rFonts w:hint="eastAsia" w:ascii="仿宋" w:hAnsi="仿宋" w:eastAsia="仿宋" w:cs="仿宋"/>
          <w:color w:val="auto"/>
          <w:sz w:val="28"/>
          <w:szCs w:val="28"/>
          <w:lang w:eastAsia="zh-CN"/>
        </w:rPr>
        <w:t>变更确认资料在工程验收及决算时与施工要件一并提交</w:t>
      </w:r>
      <w:r>
        <w:rPr>
          <w:rFonts w:hint="eastAsia" w:ascii="仿宋" w:hAnsi="仿宋" w:eastAsia="仿宋" w:cs="仿宋"/>
          <w:color w:val="auto"/>
          <w:sz w:val="28"/>
          <w:szCs w:val="28"/>
        </w:rPr>
        <w:t>。</w:t>
      </w:r>
    </w:p>
    <w:p w14:paraId="6A9F138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top"/>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四、工程验收及</w:t>
      </w:r>
      <w:r>
        <w:rPr>
          <w:rFonts w:hint="eastAsia" w:ascii="仿宋" w:hAnsi="仿宋" w:eastAsia="仿宋" w:cs="仿宋"/>
          <w:b/>
          <w:bCs/>
          <w:color w:val="auto"/>
          <w:sz w:val="28"/>
          <w:szCs w:val="28"/>
          <w:lang w:val="en-US" w:eastAsia="zh-CN"/>
        </w:rPr>
        <w:t>决</w:t>
      </w:r>
      <w:r>
        <w:rPr>
          <w:rFonts w:hint="eastAsia" w:ascii="仿宋" w:hAnsi="仿宋" w:eastAsia="仿宋" w:cs="仿宋"/>
          <w:b/>
          <w:bCs/>
          <w:color w:val="auto"/>
          <w:sz w:val="28"/>
          <w:szCs w:val="28"/>
          <w:lang w:val="en-US" w:eastAsia="zh-CN"/>
        </w:rPr>
        <w:t>算</w:t>
      </w:r>
    </w:p>
    <w:p w14:paraId="4054BAB4">
      <w:pPr>
        <w:keepNext w:val="0"/>
        <w:keepLines w:val="0"/>
        <w:pageBreakBefore w:val="0"/>
        <w:widowControl w:val="0"/>
        <w:kinsoku/>
        <w:wordWrap/>
        <w:overflowPunct/>
        <w:topLinePunct w:val="0"/>
        <w:autoSpaceDE/>
        <w:autoSpaceDN/>
        <w:bidi w:val="0"/>
        <w:adjustRightInd/>
        <w:snapToGrid/>
        <w:spacing w:line="520" w:lineRule="exact"/>
        <w:ind w:left="0" w:leftChars="0" w:firstLine="579" w:firstLineChars="207"/>
        <w:textAlignment w:val="top"/>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维修项目完工后，由申请人或受委派的物业服务企业组织进行竣工验收和</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算，本次维修工程验收</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lang w:val="en-US" w:eastAsia="zh-CN"/>
        </w:rPr>
        <w:t>（聘请/不聘请）工程勘测</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en-US" w:eastAsia="zh-CN"/>
        </w:rPr>
        <w:t>审价等第三方机构参与竣工验收和</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算。第三方机构参与竣工验收和</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算的，应出具报告，作为工程验收附件，一并公示并提交管理机构；</w:t>
      </w:r>
    </w:p>
    <w:p w14:paraId="08A6BC1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top"/>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工程</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算费用依据实际工程量</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算，若实际</w:t>
      </w:r>
      <w:r>
        <w:rPr>
          <w:rFonts w:hint="eastAsia" w:ascii="仿宋" w:hAnsi="仿宋" w:eastAsia="仿宋" w:cs="仿宋"/>
          <w:color w:val="auto"/>
          <w:sz w:val="28"/>
          <w:szCs w:val="28"/>
          <w:lang w:val="en-US" w:eastAsia="zh-CN"/>
        </w:rPr>
        <w:t>决</w:t>
      </w:r>
      <w:r>
        <w:rPr>
          <w:rFonts w:hint="eastAsia" w:ascii="仿宋" w:hAnsi="仿宋" w:eastAsia="仿宋" w:cs="仿宋"/>
          <w:color w:val="auto"/>
          <w:sz w:val="28"/>
          <w:szCs w:val="28"/>
          <w:lang w:val="en-US" w:eastAsia="zh-CN"/>
        </w:rPr>
        <w:t>算金额超出预算金额，需重新制定维修和更新、改造方案，并再次进行公示。</w:t>
      </w:r>
    </w:p>
    <w:p w14:paraId="718FAB79">
      <w:pPr>
        <w:keepNext w:val="0"/>
        <w:keepLines w:val="0"/>
        <w:pageBreakBefore w:val="0"/>
        <w:widowControl w:val="0"/>
        <w:kinsoku/>
        <w:wordWrap/>
        <w:overflowPunct/>
        <w:topLinePunct w:val="0"/>
        <w:autoSpaceDE/>
        <w:autoSpaceDN/>
        <w:bidi w:val="0"/>
        <w:adjustRightInd/>
        <w:snapToGrid/>
        <w:spacing w:line="520" w:lineRule="exact"/>
        <w:ind w:firstLine="645"/>
        <w:textAlignment w:val="top"/>
        <w:rPr>
          <w:rFonts w:hint="eastAsia" w:ascii="仿宋" w:hAnsi="仿宋" w:eastAsia="仿宋" w:cs="仿宋"/>
          <w:b/>
          <w:color w:val="auto"/>
          <w:sz w:val="28"/>
          <w:szCs w:val="28"/>
        </w:rPr>
      </w:pPr>
      <w:r>
        <w:rPr>
          <w:rFonts w:hint="eastAsia" w:ascii="仿宋" w:hAnsi="仿宋" w:eastAsia="仿宋" w:cs="仿宋"/>
          <w:b/>
          <w:color w:val="auto"/>
          <w:sz w:val="28"/>
          <w:szCs w:val="28"/>
          <w:lang w:val="en-US" w:eastAsia="zh-CN"/>
        </w:rPr>
        <w:t>五</w:t>
      </w:r>
      <w:r>
        <w:rPr>
          <w:rFonts w:hint="eastAsia" w:ascii="仿宋" w:hAnsi="仿宋" w:eastAsia="仿宋" w:cs="仿宋"/>
          <w:b/>
          <w:color w:val="auto"/>
          <w:sz w:val="28"/>
          <w:szCs w:val="28"/>
        </w:rPr>
        <w:t>、公示</w:t>
      </w:r>
    </w:p>
    <w:p w14:paraId="10ADC62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top"/>
        <w:rPr>
          <w:rFonts w:hint="eastAsia" w:ascii="仿宋" w:hAnsi="仿宋" w:eastAsia="仿宋" w:cs="仿宋"/>
          <w:color w:val="auto"/>
          <w:sz w:val="28"/>
          <w:szCs w:val="28"/>
        </w:rPr>
      </w:pPr>
      <w:r>
        <w:rPr>
          <w:rFonts w:hint="eastAsia" w:ascii="仿宋" w:hAnsi="仿宋" w:eastAsia="仿宋" w:cs="仿宋"/>
          <w:color w:val="auto"/>
          <w:sz w:val="28"/>
          <w:szCs w:val="28"/>
        </w:rPr>
        <w:t>本方案</w:t>
      </w:r>
      <w:r>
        <w:rPr>
          <w:rFonts w:hint="eastAsia" w:ascii="仿宋" w:hAnsi="仿宋" w:eastAsia="仿宋" w:cs="仿宋"/>
          <w:color w:val="auto"/>
          <w:sz w:val="28"/>
          <w:szCs w:val="28"/>
          <w:lang w:eastAsia="zh-CN"/>
        </w:rPr>
        <w:t>及</w:t>
      </w:r>
      <w:r>
        <w:rPr>
          <w:rFonts w:hint="eastAsia" w:ascii="仿宋" w:hAnsi="仿宋" w:eastAsia="仿宋" w:cs="仿宋"/>
          <w:color w:val="auto"/>
          <w:sz w:val="28"/>
          <w:szCs w:val="28"/>
          <w:lang w:val="en-US" w:eastAsia="zh-CN"/>
        </w:rPr>
        <w:t>维修资金申请使用过程中的相关材料在小区物业管理区域和维修项目的显著位置进行公示，同时同步在相关业主微信群每日进行公示，公示时间不少</w:t>
      </w:r>
      <w:r>
        <w:rPr>
          <w:rFonts w:hint="eastAsia" w:ascii="仿宋" w:hAnsi="仿宋" w:eastAsia="仿宋" w:cs="仿宋"/>
          <w:color w:val="auto"/>
          <w:sz w:val="28"/>
          <w:szCs w:val="28"/>
        </w:rPr>
        <w:t>于５日</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申请人应当留存公示情况的影像材料及微信群公示截屏图片</w:t>
      </w:r>
      <w:r>
        <w:rPr>
          <w:rFonts w:hint="eastAsia" w:ascii="仿宋" w:hAnsi="仿宋" w:eastAsia="仿宋" w:cs="仿宋"/>
          <w:color w:val="auto"/>
          <w:sz w:val="28"/>
          <w:szCs w:val="28"/>
        </w:rPr>
        <w:t>。公示后方案内容不得修改，确需修改的应当对修改的部分进行说明并公示。应急维修请按单元向业主做好充分公示。</w:t>
      </w:r>
    </w:p>
    <w:p w14:paraId="5D928EC7">
      <w:pPr>
        <w:keepNext w:val="0"/>
        <w:keepLines w:val="0"/>
        <w:pageBreakBefore w:val="0"/>
        <w:widowControl w:val="0"/>
        <w:kinsoku/>
        <w:wordWrap/>
        <w:overflowPunct/>
        <w:topLinePunct w:val="0"/>
        <w:autoSpaceDE/>
        <w:autoSpaceDN/>
        <w:bidi w:val="0"/>
        <w:adjustRightInd/>
        <w:snapToGrid/>
        <w:spacing w:line="520" w:lineRule="exact"/>
        <w:ind w:firstLine="645"/>
        <w:textAlignment w:val="top"/>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相关业主</w:t>
      </w:r>
      <w:r>
        <w:rPr>
          <w:rFonts w:hint="eastAsia" w:ascii="仿宋" w:hAnsi="仿宋" w:eastAsia="仿宋" w:cs="仿宋"/>
          <w:color w:val="auto"/>
          <w:sz w:val="28"/>
          <w:szCs w:val="28"/>
          <w:lang w:val="en-US" w:eastAsia="zh-CN"/>
        </w:rPr>
        <w:t>需</w:t>
      </w:r>
      <w:r>
        <w:rPr>
          <w:rFonts w:hint="eastAsia" w:ascii="仿宋" w:hAnsi="仿宋" w:eastAsia="仿宋" w:cs="仿宋"/>
          <w:color w:val="auto"/>
          <w:sz w:val="28"/>
          <w:szCs w:val="28"/>
        </w:rPr>
        <w:t>认真阅读本方案及后续相关材料的内容，如有异议请在公示期内及时向</w:t>
      </w:r>
      <w:r>
        <w:rPr>
          <w:rFonts w:hint="eastAsia" w:ascii="仿宋" w:hAnsi="仿宋" w:eastAsia="仿宋" w:cs="仿宋"/>
          <w:color w:val="auto"/>
          <w:sz w:val="28"/>
          <w:szCs w:val="28"/>
          <w:lang w:eastAsia="zh-CN"/>
        </w:rPr>
        <w:t>申请人</w:t>
      </w:r>
      <w:r>
        <w:rPr>
          <w:rFonts w:hint="eastAsia" w:ascii="仿宋" w:hAnsi="仿宋" w:eastAsia="仿宋" w:cs="仿宋"/>
          <w:color w:val="auto"/>
          <w:sz w:val="28"/>
          <w:szCs w:val="28"/>
          <w:lang w:val="en-US" w:eastAsia="zh-CN"/>
        </w:rPr>
        <w:t>提出，由申请人、经办人做好解释工作。</w:t>
      </w:r>
    </w:p>
    <w:p w14:paraId="3732D9C1">
      <w:pPr>
        <w:keepNext w:val="0"/>
        <w:keepLines w:val="0"/>
        <w:pageBreakBefore w:val="0"/>
        <w:widowControl w:val="0"/>
        <w:kinsoku/>
        <w:wordWrap/>
        <w:overflowPunct/>
        <w:topLinePunct w:val="0"/>
        <w:autoSpaceDE/>
        <w:autoSpaceDN/>
        <w:bidi w:val="0"/>
        <w:adjustRightInd/>
        <w:snapToGrid/>
        <w:spacing w:line="520" w:lineRule="exact"/>
        <w:ind w:firstLine="645"/>
        <w:textAlignment w:val="top"/>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应急维修项目费用预分摊后30日内，申请人仍未有效公示并将申请资料提交管理机构的，经申请人确认后终止该项应急维修。申请人仍要求继续进行的，提出书面申请并明确时限。</w:t>
      </w:r>
    </w:p>
    <w:p w14:paraId="465A353F">
      <w:pPr>
        <w:spacing w:line="540" w:lineRule="exact"/>
        <w:rPr>
          <w:rFonts w:hint="eastAsia" w:ascii="仿宋" w:hAnsi="仿宋" w:eastAsia="仿宋" w:cs="方正仿宋_GB2312"/>
          <w:color w:val="auto"/>
          <w:sz w:val="28"/>
          <w:szCs w:val="28"/>
        </w:rPr>
      </w:pPr>
    </w:p>
    <w:p w14:paraId="07CA7A3C">
      <w:pPr>
        <w:spacing w:line="540" w:lineRule="exact"/>
        <w:rPr>
          <w:rFonts w:hint="eastAsia" w:ascii="仿宋" w:hAnsi="仿宋" w:eastAsia="仿宋" w:cs="方正仿宋_GB2312"/>
          <w:color w:val="auto"/>
          <w:sz w:val="28"/>
          <w:szCs w:val="28"/>
        </w:rPr>
      </w:pPr>
    </w:p>
    <w:p w14:paraId="757E8D0A">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经办人签字：</w:t>
      </w:r>
      <w:r>
        <w:rPr>
          <w:rFonts w:hint="eastAsia" w:ascii="仿宋" w:hAnsi="仿宋" w:eastAsia="仿宋" w:cs="仿宋"/>
          <w:b w:val="0"/>
          <w:bCs/>
          <w:color w:val="auto"/>
          <w:sz w:val="28"/>
          <w:szCs w:val="28"/>
          <w:u w:val="single"/>
          <w:lang w:val="en-US" w:eastAsia="zh-CN"/>
        </w:rPr>
        <w:t xml:space="preserve">            </w:t>
      </w:r>
      <w:r>
        <w:rPr>
          <w:rFonts w:hint="eastAsia" w:ascii="仿宋" w:hAnsi="仿宋" w:eastAsia="仿宋" w:cs="仿宋"/>
          <w:b w:val="0"/>
          <w:bCs/>
          <w:color w:val="auto"/>
          <w:sz w:val="28"/>
          <w:szCs w:val="28"/>
          <w:u w:val="none"/>
          <w:lang w:val="en-US" w:eastAsia="zh-CN"/>
        </w:rPr>
        <w:t xml:space="preserve">   联系方式：</w:t>
      </w:r>
      <w:r>
        <w:rPr>
          <w:rFonts w:hint="eastAsia" w:ascii="仿宋" w:hAnsi="仿宋" w:eastAsia="仿宋" w:cs="仿宋"/>
          <w:b w:val="0"/>
          <w:bCs/>
          <w:color w:val="auto"/>
          <w:sz w:val="28"/>
          <w:szCs w:val="28"/>
          <w:u w:val="single"/>
          <w:lang w:val="en-US" w:eastAsia="zh-CN"/>
        </w:rPr>
        <w:t xml:space="preserve">                </w:t>
      </w:r>
    </w:p>
    <w:p w14:paraId="4CECF44B">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 w:val="0"/>
          <w:bCs/>
          <w:color w:val="auto"/>
          <w:sz w:val="28"/>
          <w:szCs w:val="28"/>
          <w:u w:val="none"/>
          <w:lang w:val="en-US" w:eastAsia="zh-CN"/>
        </w:rPr>
      </w:pPr>
    </w:p>
    <w:p w14:paraId="4B431628">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 w:val="0"/>
          <w:bCs/>
          <w:color w:val="auto"/>
          <w:sz w:val="28"/>
          <w:szCs w:val="28"/>
          <w:u w:val="none"/>
          <w:lang w:val="en-US" w:eastAsia="zh-CN"/>
        </w:rPr>
      </w:pPr>
    </w:p>
    <w:p w14:paraId="5BD1EEDE">
      <w:pPr>
        <w:keepNext w:val="0"/>
        <w:keepLines w:val="0"/>
        <w:pageBreakBefore w:val="0"/>
        <w:widowControl w:val="0"/>
        <w:kinsoku/>
        <w:wordWrap/>
        <w:overflowPunct/>
        <w:topLinePunct w:val="0"/>
        <w:autoSpaceDE/>
        <w:autoSpaceDN/>
        <w:bidi w:val="0"/>
        <w:adjustRightInd/>
        <w:snapToGrid/>
        <w:spacing w:line="560" w:lineRule="exact"/>
        <w:ind w:firstLine="1400" w:firstLineChars="5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 xml:space="preserve"> 受委派物业服务企业印章            </w:t>
      </w:r>
      <w:r>
        <w:rPr>
          <w:rFonts w:hint="eastAsia" w:ascii="仿宋" w:hAnsi="仿宋" w:eastAsia="仿宋" w:cs="仿宋"/>
          <w:color w:val="auto"/>
          <w:sz w:val="28"/>
          <w:szCs w:val="28"/>
          <w:lang w:val="en-US" w:eastAsia="zh-CN"/>
        </w:rPr>
        <w:t>申请人</w:t>
      </w:r>
      <w:r>
        <w:rPr>
          <w:rFonts w:hint="eastAsia" w:ascii="仿宋" w:hAnsi="仿宋" w:eastAsia="仿宋" w:cs="仿宋"/>
          <w:b w:val="0"/>
          <w:bCs/>
          <w:color w:val="auto"/>
          <w:sz w:val="28"/>
          <w:szCs w:val="28"/>
          <w:u w:val="none"/>
          <w:lang w:val="en-US" w:eastAsia="zh-CN"/>
        </w:rPr>
        <w:t>印章</w:t>
      </w:r>
    </w:p>
    <w:p w14:paraId="58397FD3">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hint="eastAsia" w:ascii="仿宋" w:hAnsi="仿宋" w:eastAsia="仿宋" w:cs="仿宋"/>
          <w:b w:val="0"/>
          <w:bCs/>
          <w:color w:val="auto"/>
          <w:sz w:val="28"/>
          <w:szCs w:val="28"/>
          <w:u w:val="none"/>
          <w:lang w:val="en-US" w:eastAsia="zh-CN"/>
        </w:rPr>
      </w:pPr>
      <w:r>
        <w:rPr>
          <w:rFonts w:hint="eastAsia" w:ascii="仿宋" w:hAnsi="仿宋" w:eastAsia="仿宋" w:cs="仿宋"/>
          <w:b w:val="0"/>
          <w:bCs/>
          <w:color w:val="auto"/>
          <w:sz w:val="28"/>
          <w:szCs w:val="28"/>
          <w:u w:val="none"/>
          <w:lang w:val="en-US" w:eastAsia="zh-CN"/>
        </w:rPr>
        <w:t xml:space="preserve">     </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月</w:t>
      </w:r>
      <w:r>
        <w:rPr>
          <w:rFonts w:hint="eastAsia" w:ascii="仿宋" w:hAnsi="仿宋" w:eastAsia="仿宋" w:cs="仿宋"/>
          <w:b w:val="0"/>
          <w:bCs/>
          <w:color w:val="auto"/>
          <w:sz w:val="28"/>
          <w:szCs w:val="28"/>
          <w:u w:val="single"/>
          <w:lang w:val="en-US" w:eastAsia="zh-CN"/>
        </w:rPr>
        <w:t xml:space="preserve">  </w:t>
      </w:r>
      <w:r>
        <w:rPr>
          <w:rFonts w:hint="eastAsia" w:ascii="仿宋" w:hAnsi="仿宋" w:eastAsia="仿宋" w:cs="仿宋"/>
          <w:b w:val="0"/>
          <w:bCs/>
          <w:color w:val="auto"/>
          <w:sz w:val="28"/>
          <w:szCs w:val="28"/>
          <w:u w:val="none"/>
          <w:lang w:val="en-US" w:eastAsia="zh-CN"/>
        </w:rPr>
        <w:t xml:space="preserve">日                 </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年</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kern w:val="0"/>
          <w:sz w:val="28"/>
          <w:szCs w:val="28"/>
          <w:u w:val="none"/>
          <w:lang w:val="en-US" w:eastAsia="zh-CN"/>
        </w:rPr>
        <w:t>月</w:t>
      </w:r>
      <w:r>
        <w:rPr>
          <w:rFonts w:hint="eastAsia" w:ascii="仿宋" w:hAnsi="仿宋" w:eastAsia="仿宋" w:cs="仿宋"/>
          <w:b w:val="0"/>
          <w:bCs/>
          <w:color w:val="auto"/>
          <w:sz w:val="28"/>
          <w:szCs w:val="28"/>
          <w:u w:val="single"/>
          <w:lang w:val="en-US" w:eastAsia="zh-CN"/>
        </w:rPr>
        <w:t xml:space="preserve">  </w:t>
      </w:r>
      <w:r>
        <w:rPr>
          <w:rFonts w:hint="eastAsia" w:ascii="仿宋" w:hAnsi="仿宋" w:eastAsia="仿宋" w:cs="仿宋"/>
          <w:b w:val="0"/>
          <w:bCs/>
          <w:color w:val="auto"/>
          <w:sz w:val="28"/>
          <w:szCs w:val="28"/>
          <w:u w:val="none"/>
          <w:lang w:val="en-US" w:eastAsia="zh-CN"/>
        </w:rPr>
        <w:t>日</w:t>
      </w:r>
    </w:p>
    <w:p w14:paraId="0A2D168A">
      <w:pPr>
        <w:keepNext w:val="0"/>
        <w:keepLines w:val="0"/>
        <w:pageBreakBefore w:val="0"/>
        <w:widowControl w:val="0"/>
        <w:kinsoku/>
        <w:wordWrap/>
        <w:overflowPunct/>
        <w:topLinePunct w:val="0"/>
        <w:autoSpaceDE/>
        <w:autoSpaceDN/>
        <w:bidi w:val="0"/>
        <w:adjustRightInd/>
        <w:snapToGrid/>
        <w:spacing w:line="560" w:lineRule="exact"/>
        <w:ind w:firstLine="1440" w:firstLineChars="600"/>
        <w:textAlignment w:val="auto"/>
        <w:rPr>
          <w:rFonts w:hint="eastAsia" w:ascii="仿宋" w:hAnsi="仿宋" w:eastAsia="仿宋" w:cs="仿宋"/>
          <w:b w:val="0"/>
          <w:bCs/>
          <w:color w:val="auto"/>
          <w:sz w:val="24"/>
          <w:szCs w:val="24"/>
          <w:highlight w:val="none"/>
          <w:u w:val="none"/>
          <w:lang w:val="en-US" w:eastAsia="zh-CN"/>
        </w:rPr>
      </w:pPr>
      <w:r>
        <w:rPr>
          <w:rFonts w:hint="eastAsia" w:ascii="仿宋" w:hAnsi="仿宋" w:eastAsia="仿宋" w:cs="仿宋"/>
          <w:b w:val="0"/>
          <w:bCs/>
          <w:color w:val="auto"/>
          <w:sz w:val="24"/>
          <w:szCs w:val="24"/>
          <w:highlight w:val="none"/>
          <w:u w:val="none"/>
          <w:lang w:val="en-US" w:eastAsia="zh-CN"/>
        </w:rPr>
        <w:t>（如不委派物业服务企业不盖此章）</w:t>
      </w:r>
    </w:p>
    <w:p w14:paraId="08A87E01">
      <w:pPr>
        <w:spacing w:line="540" w:lineRule="exact"/>
        <w:rPr>
          <w:rFonts w:hint="eastAsia" w:ascii="仿宋" w:hAnsi="仿宋" w:eastAsia="仿宋"/>
          <w:color w:val="auto"/>
          <w:sz w:val="28"/>
          <w:szCs w:val="28"/>
        </w:rPr>
      </w:pPr>
    </w:p>
    <w:sectPr>
      <w:footerReference r:id="rId3" w:type="default"/>
      <w:footerReference r:id="rId4" w:type="even"/>
      <w:pgSz w:w="11906" w:h="16838"/>
      <w:pgMar w:top="1701" w:right="1531" w:bottom="1417" w:left="1531" w:header="851" w:footer="992" w:gutter="0"/>
      <w:pgNumType w:fmt="decimalFullWidt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F8717E-F5DB-4974-9E0D-EABACF79844B}"/>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11D80615-BDDF-4DAC-A693-10F6825309F4}"/>
  </w:font>
  <w:font w:name="方正仿宋_GB2312">
    <w:panose1 w:val="02000000000000000000"/>
    <w:charset w:val="86"/>
    <w:family w:val="auto"/>
    <w:pitch w:val="default"/>
    <w:sig w:usb0="A00002BF" w:usb1="184F6CFA" w:usb2="00000012" w:usb3="00000000" w:csb0="00040001" w:csb1="00000000"/>
    <w:embedRegular r:id="rId3" w:fontKey="{81C15D6D-8024-4CC5-8914-389A75301709}"/>
  </w:font>
  <w:font w:name="Segoe UI Symbol">
    <w:panose1 w:val="020B0502040204020203"/>
    <w:charset w:val="00"/>
    <w:family w:val="auto"/>
    <w:pitch w:val="default"/>
    <w:sig w:usb0="8000006F" w:usb1="1200FBEF" w:usb2="0064C000" w:usb3="00000002" w:csb0="00000001" w:csb1="4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59D84">
    <w:pPr>
      <w:pStyle w:val="2"/>
      <w:framePr w:wrap="around" w:vAnchor="text" w:hAnchor="margin" w:xAlign="center" w:y="1"/>
      <w:rPr>
        <w:rStyle w:val="7"/>
        <w:rFonts w:hint="eastAsia" w:ascii="仿宋" w:hAnsi="仿宋" w:eastAsia="仿宋" w:cs="仿宋"/>
        <w:sz w:val="24"/>
        <w:szCs w:val="24"/>
      </w:rPr>
    </w:pPr>
    <w:r>
      <w:rPr>
        <w:rFonts w:hint="eastAsia" w:ascii="仿宋" w:hAnsi="仿宋" w:eastAsia="仿宋" w:cs="仿宋"/>
        <w:sz w:val="24"/>
        <w:szCs w:val="24"/>
      </w:rPr>
      <w:fldChar w:fldCharType="begin"/>
    </w:r>
    <w:r>
      <w:rPr>
        <w:rStyle w:val="7"/>
        <w:rFonts w:hint="eastAsia" w:ascii="仿宋" w:hAnsi="仿宋" w:eastAsia="仿宋" w:cs="仿宋"/>
        <w:sz w:val="24"/>
        <w:szCs w:val="24"/>
      </w:rPr>
      <w:instrText xml:space="preserve">PAGE  </w:instrText>
    </w:r>
    <w:r>
      <w:rPr>
        <w:rFonts w:hint="eastAsia" w:ascii="仿宋" w:hAnsi="仿宋" w:eastAsia="仿宋" w:cs="仿宋"/>
        <w:sz w:val="24"/>
        <w:szCs w:val="24"/>
      </w:rPr>
      <w:fldChar w:fldCharType="separate"/>
    </w:r>
    <w:r>
      <w:rPr>
        <w:rStyle w:val="7"/>
        <w:rFonts w:hint="eastAsia" w:ascii="仿宋" w:hAnsi="仿宋" w:eastAsia="仿宋" w:cs="仿宋"/>
        <w:sz w:val="24"/>
        <w:szCs w:val="24"/>
      </w:rPr>
      <w:t>２</w:t>
    </w:r>
    <w:r>
      <w:rPr>
        <w:rFonts w:hint="eastAsia" w:ascii="仿宋" w:hAnsi="仿宋" w:eastAsia="仿宋" w:cs="仿宋"/>
        <w:sz w:val="24"/>
        <w:szCs w:val="24"/>
      </w:rPr>
      <w:fldChar w:fldCharType="end"/>
    </w:r>
  </w:p>
  <w:p w14:paraId="1209449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25EAC">
    <w:pPr>
      <w:pStyle w:val="2"/>
      <w:framePr w:wrap="around" w:vAnchor="text" w:hAnchor="margin" w:xAlign="center" w:y="1"/>
      <w:rPr>
        <w:rStyle w:val="7"/>
      </w:rPr>
    </w:pPr>
    <w:r>
      <w:fldChar w:fldCharType="begin"/>
    </w:r>
    <w:r>
      <w:rPr>
        <w:rStyle w:val="7"/>
      </w:rPr>
      <w:instrText xml:space="preserve">PAGE  </w:instrText>
    </w:r>
    <w:r>
      <w:fldChar w:fldCharType="end"/>
    </w:r>
  </w:p>
  <w:p w14:paraId="2D5CACE8">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MjdlZTg5YjUxMDNjN2Q0MGNjY2U3NjMxMTMzZjcifQ=="/>
  </w:docVars>
  <w:rsids>
    <w:rsidRoot w:val="00D131E7"/>
    <w:rsid w:val="000013AA"/>
    <w:rsid w:val="0000194B"/>
    <w:rsid w:val="000230B2"/>
    <w:rsid w:val="000244D3"/>
    <w:rsid w:val="0003598E"/>
    <w:rsid w:val="00040D2D"/>
    <w:rsid w:val="00053489"/>
    <w:rsid w:val="00061F3B"/>
    <w:rsid w:val="000707E7"/>
    <w:rsid w:val="00082964"/>
    <w:rsid w:val="00084026"/>
    <w:rsid w:val="00093254"/>
    <w:rsid w:val="000958C1"/>
    <w:rsid w:val="00097D87"/>
    <w:rsid w:val="000C61A0"/>
    <w:rsid w:val="000D4E25"/>
    <w:rsid w:val="000E2445"/>
    <w:rsid w:val="000F3542"/>
    <w:rsid w:val="000F5541"/>
    <w:rsid w:val="000F7B2E"/>
    <w:rsid w:val="001040ED"/>
    <w:rsid w:val="001102B1"/>
    <w:rsid w:val="00110D4B"/>
    <w:rsid w:val="00114B94"/>
    <w:rsid w:val="00146010"/>
    <w:rsid w:val="001578CC"/>
    <w:rsid w:val="00161A3A"/>
    <w:rsid w:val="00175A89"/>
    <w:rsid w:val="001767AF"/>
    <w:rsid w:val="0019166D"/>
    <w:rsid w:val="001930BC"/>
    <w:rsid w:val="001B09FF"/>
    <w:rsid w:val="001B5F47"/>
    <w:rsid w:val="001B600A"/>
    <w:rsid w:val="001C0959"/>
    <w:rsid w:val="001C2137"/>
    <w:rsid w:val="001C7F0B"/>
    <w:rsid w:val="001D7EBB"/>
    <w:rsid w:val="00206001"/>
    <w:rsid w:val="00207EEE"/>
    <w:rsid w:val="00210AC1"/>
    <w:rsid w:val="00212468"/>
    <w:rsid w:val="002157EB"/>
    <w:rsid w:val="00231AE6"/>
    <w:rsid w:val="0026539D"/>
    <w:rsid w:val="0027163E"/>
    <w:rsid w:val="00272317"/>
    <w:rsid w:val="00275A90"/>
    <w:rsid w:val="00294A64"/>
    <w:rsid w:val="00295CF7"/>
    <w:rsid w:val="002A10DA"/>
    <w:rsid w:val="002A3F08"/>
    <w:rsid w:val="002C0D2C"/>
    <w:rsid w:val="002C1327"/>
    <w:rsid w:val="002E0F4D"/>
    <w:rsid w:val="002E5A5F"/>
    <w:rsid w:val="00303115"/>
    <w:rsid w:val="00310F1A"/>
    <w:rsid w:val="00332723"/>
    <w:rsid w:val="003419BD"/>
    <w:rsid w:val="003469F8"/>
    <w:rsid w:val="00351B52"/>
    <w:rsid w:val="00353345"/>
    <w:rsid w:val="003633E9"/>
    <w:rsid w:val="003825FF"/>
    <w:rsid w:val="003845DC"/>
    <w:rsid w:val="003924E7"/>
    <w:rsid w:val="00393F35"/>
    <w:rsid w:val="003A5609"/>
    <w:rsid w:val="003B5C24"/>
    <w:rsid w:val="003C08E6"/>
    <w:rsid w:val="003D0902"/>
    <w:rsid w:val="003D50CF"/>
    <w:rsid w:val="003E0945"/>
    <w:rsid w:val="003E62EA"/>
    <w:rsid w:val="003F23D6"/>
    <w:rsid w:val="00401516"/>
    <w:rsid w:val="00404CAD"/>
    <w:rsid w:val="00420C15"/>
    <w:rsid w:val="00430B77"/>
    <w:rsid w:val="004310E0"/>
    <w:rsid w:val="00446FD6"/>
    <w:rsid w:val="004511C6"/>
    <w:rsid w:val="00457F7A"/>
    <w:rsid w:val="0046110F"/>
    <w:rsid w:val="00471528"/>
    <w:rsid w:val="00475641"/>
    <w:rsid w:val="00484C1D"/>
    <w:rsid w:val="00485C68"/>
    <w:rsid w:val="00496220"/>
    <w:rsid w:val="004A3C84"/>
    <w:rsid w:val="004B1C32"/>
    <w:rsid w:val="004B2012"/>
    <w:rsid w:val="004B6503"/>
    <w:rsid w:val="004B6AAC"/>
    <w:rsid w:val="004C3996"/>
    <w:rsid w:val="004D060A"/>
    <w:rsid w:val="004E0742"/>
    <w:rsid w:val="004F791C"/>
    <w:rsid w:val="00502636"/>
    <w:rsid w:val="005062AD"/>
    <w:rsid w:val="00517E2A"/>
    <w:rsid w:val="0053328E"/>
    <w:rsid w:val="00551AF7"/>
    <w:rsid w:val="00561CAE"/>
    <w:rsid w:val="00567A4D"/>
    <w:rsid w:val="0057652C"/>
    <w:rsid w:val="00590FA4"/>
    <w:rsid w:val="005A6A98"/>
    <w:rsid w:val="005B173B"/>
    <w:rsid w:val="005B3767"/>
    <w:rsid w:val="005C3260"/>
    <w:rsid w:val="005C7B3A"/>
    <w:rsid w:val="005D1967"/>
    <w:rsid w:val="005F3934"/>
    <w:rsid w:val="005F7A91"/>
    <w:rsid w:val="006055A2"/>
    <w:rsid w:val="00611BE8"/>
    <w:rsid w:val="006125F4"/>
    <w:rsid w:val="00615283"/>
    <w:rsid w:val="00623359"/>
    <w:rsid w:val="006620D4"/>
    <w:rsid w:val="00667124"/>
    <w:rsid w:val="006700BF"/>
    <w:rsid w:val="006706D8"/>
    <w:rsid w:val="00673C33"/>
    <w:rsid w:val="006D1B7D"/>
    <w:rsid w:val="00700646"/>
    <w:rsid w:val="00704D17"/>
    <w:rsid w:val="00721FC0"/>
    <w:rsid w:val="00727F79"/>
    <w:rsid w:val="0073484E"/>
    <w:rsid w:val="00734CD6"/>
    <w:rsid w:val="00735B03"/>
    <w:rsid w:val="0074661D"/>
    <w:rsid w:val="00755255"/>
    <w:rsid w:val="00763AC7"/>
    <w:rsid w:val="00774430"/>
    <w:rsid w:val="007A49D8"/>
    <w:rsid w:val="007B3B4A"/>
    <w:rsid w:val="007B6B8A"/>
    <w:rsid w:val="007C7939"/>
    <w:rsid w:val="007D485A"/>
    <w:rsid w:val="007D6570"/>
    <w:rsid w:val="007E2C44"/>
    <w:rsid w:val="0080418E"/>
    <w:rsid w:val="00804A78"/>
    <w:rsid w:val="00805495"/>
    <w:rsid w:val="00810C79"/>
    <w:rsid w:val="008127C0"/>
    <w:rsid w:val="00816375"/>
    <w:rsid w:val="00820AED"/>
    <w:rsid w:val="00824258"/>
    <w:rsid w:val="00826603"/>
    <w:rsid w:val="00840756"/>
    <w:rsid w:val="00841328"/>
    <w:rsid w:val="00844492"/>
    <w:rsid w:val="00847BEE"/>
    <w:rsid w:val="00855060"/>
    <w:rsid w:val="008558EA"/>
    <w:rsid w:val="00862930"/>
    <w:rsid w:val="00864B41"/>
    <w:rsid w:val="008663DE"/>
    <w:rsid w:val="00871698"/>
    <w:rsid w:val="00875BFB"/>
    <w:rsid w:val="00882E53"/>
    <w:rsid w:val="00883095"/>
    <w:rsid w:val="008834AE"/>
    <w:rsid w:val="00887AA3"/>
    <w:rsid w:val="00893C1A"/>
    <w:rsid w:val="0089479E"/>
    <w:rsid w:val="008A1FE0"/>
    <w:rsid w:val="008A628D"/>
    <w:rsid w:val="008B02D5"/>
    <w:rsid w:val="008C095A"/>
    <w:rsid w:val="008E6EBF"/>
    <w:rsid w:val="008F4EEB"/>
    <w:rsid w:val="009014C3"/>
    <w:rsid w:val="00914056"/>
    <w:rsid w:val="009204C3"/>
    <w:rsid w:val="00924157"/>
    <w:rsid w:val="009250D2"/>
    <w:rsid w:val="00926657"/>
    <w:rsid w:val="00931A7B"/>
    <w:rsid w:val="00935E5C"/>
    <w:rsid w:val="00937CDA"/>
    <w:rsid w:val="0094475F"/>
    <w:rsid w:val="0095231C"/>
    <w:rsid w:val="00953BF3"/>
    <w:rsid w:val="00961DC7"/>
    <w:rsid w:val="00963687"/>
    <w:rsid w:val="00966993"/>
    <w:rsid w:val="00981753"/>
    <w:rsid w:val="00982796"/>
    <w:rsid w:val="009948F1"/>
    <w:rsid w:val="009A6CB8"/>
    <w:rsid w:val="009B0237"/>
    <w:rsid w:val="009B5AF0"/>
    <w:rsid w:val="009C0FD2"/>
    <w:rsid w:val="009C1013"/>
    <w:rsid w:val="009C1E11"/>
    <w:rsid w:val="009D020B"/>
    <w:rsid w:val="009D753A"/>
    <w:rsid w:val="009F1407"/>
    <w:rsid w:val="00A10E73"/>
    <w:rsid w:val="00A1102F"/>
    <w:rsid w:val="00A479E1"/>
    <w:rsid w:val="00A51473"/>
    <w:rsid w:val="00A56BE4"/>
    <w:rsid w:val="00A641AD"/>
    <w:rsid w:val="00A64408"/>
    <w:rsid w:val="00A868B9"/>
    <w:rsid w:val="00A905C2"/>
    <w:rsid w:val="00AB11C7"/>
    <w:rsid w:val="00AB1606"/>
    <w:rsid w:val="00AE48F4"/>
    <w:rsid w:val="00AF48A6"/>
    <w:rsid w:val="00B12039"/>
    <w:rsid w:val="00B32CF6"/>
    <w:rsid w:val="00B354A5"/>
    <w:rsid w:val="00B420F2"/>
    <w:rsid w:val="00B55635"/>
    <w:rsid w:val="00B62220"/>
    <w:rsid w:val="00B65C12"/>
    <w:rsid w:val="00B6778A"/>
    <w:rsid w:val="00B67E36"/>
    <w:rsid w:val="00B95F48"/>
    <w:rsid w:val="00B968BD"/>
    <w:rsid w:val="00BB51DB"/>
    <w:rsid w:val="00BF39F2"/>
    <w:rsid w:val="00BF553E"/>
    <w:rsid w:val="00C004CC"/>
    <w:rsid w:val="00C029CB"/>
    <w:rsid w:val="00C03916"/>
    <w:rsid w:val="00C04878"/>
    <w:rsid w:val="00C06CAF"/>
    <w:rsid w:val="00C157DD"/>
    <w:rsid w:val="00C34586"/>
    <w:rsid w:val="00C40F97"/>
    <w:rsid w:val="00C46009"/>
    <w:rsid w:val="00C4715A"/>
    <w:rsid w:val="00C52E05"/>
    <w:rsid w:val="00C54C44"/>
    <w:rsid w:val="00C57886"/>
    <w:rsid w:val="00C60BB8"/>
    <w:rsid w:val="00C87E51"/>
    <w:rsid w:val="00CA169B"/>
    <w:rsid w:val="00CA2535"/>
    <w:rsid w:val="00CB6AA8"/>
    <w:rsid w:val="00CB72EF"/>
    <w:rsid w:val="00CC1B4E"/>
    <w:rsid w:val="00CC40B4"/>
    <w:rsid w:val="00CC4670"/>
    <w:rsid w:val="00CD0710"/>
    <w:rsid w:val="00CD76E4"/>
    <w:rsid w:val="00CE44F8"/>
    <w:rsid w:val="00D00A8C"/>
    <w:rsid w:val="00D023EF"/>
    <w:rsid w:val="00D02DAC"/>
    <w:rsid w:val="00D131E7"/>
    <w:rsid w:val="00D13FBA"/>
    <w:rsid w:val="00D23D39"/>
    <w:rsid w:val="00D24286"/>
    <w:rsid w:val="00D25F5A"/>
    <w:rsid w:val="00D42441"/>
    <w:rsid w:val="00D47556"/>
    <w:rsid w:val="00D511D2"/>
    <w:rsid w:val="00D6154E"/>
    <w:rsid w:val="00D654D5"/>
    <w:rsid w:val="00D84800"/>
    <w:rsid w:val="00D86CF4"/>
    <w:rsid w:val="00D86FE4"/>
    <w:rsid w:val="00D93441"/>
    <w:rsid w:val="00D950C1"/>
    <w:rsid w:val="00DA28CE"/>
    <w:rsid w:val="00DB10DB"/>
    <w:rsid w:val="00DB58F9"/>
    <w:rsid w:val="00DC1032"/>
    <w:rsid w:val="00DD6213"/>
    <w:rsid w:val="00DD682E"/>
    <w:rsid w:val="00DE440C"/>
    <w:rsid w:val="00E11743"/>
    <w:rsid w:val="00E12675"/>
    <w:rsid w:val="00E1410B"/>
    <w:rsid w:val="00E25A2F"/>
    <w:rsid w:val="00E27DDE"/>
    <w:rsid w:val="00E3181A"/>
    <w:rsid w:val="00E33E51"/>
    <w:rsid w:val="00E44A9B"/>
    <w:rsid w:val="00E52F65"/>
    <w:rsid w:val="00E53842"/>
    <w:rsid w:val="00E54EC9"/>
    <w:rsid w:val="00E6493E"/>
    <w:rsid w:val="00E6547C"/>
    <w:rsid w:val="00E7491A"/>
    <w:rsid w:val="00E8130D"/>
    <w:rsid w:val="00E95E3F"/>
    <w:rsid w:val="00E966B4"/>
    <w:rsid w:val="00EB0E19"/>
    <w:rsid w:val="00EC45BB"/>
    <w:rsid w:val="00EC6F4E"/>
    <w:rsid w:val="00EC76D8"/>
    <w:rsid w:val="00EE5509"/>
    <w:rsid w:val="00EF2B82"/>
    <w:rsid w:val="00EF4276"/>
    <w:rsid w:val="00EF441B"/>
    <w:rsid w:val="00EF4B93"/>
    <w:rsid w:val="00EF5F1C"/>
    <w:rsid w:val="00F1044F"/>
    <w:rsid w:val="00F107AB"/>
    <w:rsid w:val="00F11C66"/>
    <w:rsid w:val="00F1332E"/>
    <w:rsid w:val="00F16640"/>
    <w:rsid w:val="00F26B83"/>
    <w:rsid w:val="00F44C29"/>
    <w:rsid w:val="00F5227F"/>
    <w:rsid w:val="00F5707D"/>
    <w:rsid w:val="00F67ED4"/>
    <w:rsid w:val="00F71517"/>
    <w:rsid w:val="00F754BB"/>
    <w:rsid w:val="00F83B36"/>
    <w:rsid w:val="00F859E0"/>
    <w:rsid w:val="00F97ABE"/>
    <w:rsid w:val="00FA20A6"/>
    <w:rsid w:val="00FA45C7"/>
    <w:rsid w:val="00FB5235"/>
    <w:rsid w:val="00FB780F"/>
    <w:rsid w:val="00FC6C38"/>
    <w:rsid w:val="00FD1CA8"/>
    <w:rsid w:val="00FD3281"/>
    <w:rsid w:val="00FE7C41"/>
    <w:rsid w:val="058A2038"/>
    <w:rsid w:val="07D236BC"/>
    <w:rsid w:val="08084E5C"/>
    <w:rsid w:val="084D6A91"/>
    <w:rsid w:val="08C94F2B"/>
    <w:rsid w:val="0AE85F3B"/>
    <w:rsid w:val="0BAF16CB"/>
    <w:rsid w:val="0CF06221"/>
    <w:rsid w:val="0F6C6245"/>
    <w:rsid w:val="0F8B0ADD"/>
    <w:rsid w:val="0FF70A3F"/>
    <w:rsid w:val="131A56FB"/>
    <w:rsid w:val="143C379A"/>
    <w:rsid w:val="176F3141"/>
    <w:rsid w:val="179E6EB2"/>
    <w:rsid w:val="1CF939B0"/>
    <w:rsid w:val="1D4A2BFD"/>
    <w:rsid w:val="21BB4235"/>
    <w:rsid w:val="22F14025"/>
    <w:rsid w:val="23012841"/>
    <w:rsid w:val="2415322B"/>
    <w:rsid w:val="259D36FF"/>
    <w:rsid w:val="27324A20"/>
    <w:rsid w:val="29C74208"/>
    <w:rsid w:val="2BE97624"/>
    <w:rsid w:val="2BEB4CB7"/>
    <w:rsid w:val="2C313F7C"/>
    <w:rsid w:val="2C3A7017"/>
    <w:rsid w:val="2D511BD0"/>
    <w:rsid w:val="30D930BC"/>
    <w:rsid w:val="342015F4"/>
    <w:rsid w:val="346468BD"/>
    <w:rsid w:val="34D83DA2"/>
    <w:rsid w:val="35B832B4"/>
    <w:rsid w:val="37EA51E8"/>
    <w:rsid w:val="380F20AB"/>
    <w:rsid w:val="382109D8"/>
    <w:rsid w:val="383110C6"/>
    <w:rsid w:val="38422BA3"/>
    <w:rsid w:val="3B590009"/>
    <w:rsid w:val="3DD55C56"/>
    <w:rsid w:val="41193E6F"/>
    <w:rsid w:val="413D544B"/>
    <w:rsid w:val="44AF7C62"/>
    <w:rsid w:val="4844170D"/>
    <w:rsid w:val="4A2F038B"/>
    <w:rsid w:val="50245397"/>
    <w:rsid w:val="5047081A"/>
    <w:rsid w:val="56013509"/>
    <w:rsid w:val="583077A8"/>
    <w:rsid w:val="5B653457"/>
    <w:rsid w:val="5C1B5D77"/>
    <w:rsid w:val="5E53318E"/>
    <w:rsid w:val="640F0436"/>
    <w:rsid w:val="65112AD9"/>
    <w:rsid w:val="660D37F9"/>
    <w:rsid w:val="693052BB"/>
    <w:rsid w:val="6DB30807"/>
    <w:rsid w:val="6F0504A3"/>
    <w:rsid w:val="7142146C"/>
    <w:rsid w:val="716B49B9"/>
    <w:rsid w:val="72FB060A"/>
    <w:rsid w:val="77980A6E"/>
    <w:rsid w:val="77B47919"/>
    <w:rsid w:val="7808268F"/>
    <w:rsid w:val="792A52B8"/>
    <w:rsid w:val="79C4741E"/>
    <w:rsid w:val="FFE72A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 w:type="character" w:customStyle="1" w:styleId="8">
    <w:name w:val="apple-style-span"/>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1323</Words>
  <Characters>1324</Characters>
  <Lines>8</Lines>
  <Paragraphs>2</Paragraphs>
  <TotalTime>15</TotalTime>
  <ScaleCrop>false</ScaleCrop>
  <LinksUpToDate>false</LinksUpToDate>
  <CharactersWithSpaces>1606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2019-01-02T08:59:00Z</dcterms:created>
  <dc:creator>微软用户</dc:creator>
  <cp:lastModifiedBy>张斌</cp:lastModifiedBy>
  <cp:lastPrinted>2019-03-28T06:40:00Z</cp:lastPrinted>
  <dcterms:modified xsi:type="dcterms:W3CDTF">2026-07-24T07:22:00Z</dcterms:modified>
  <dc:title>维修和更新、改造方案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0B7A465F16524F5FAB41F70F82499AE4_13</vt:lpwstr>
  </property>
  <property fmtid="{D5CDD505-2E9C-101B-9397-08002B2CF9AE}" pid="4" name="KSOTemplateDocerSaveRecord">
    <vt:lpwstr>eyJoZGlkIjoiOTYxOWQ4N2I4ZjFlNDZjMjJiNDMzNTIwMDJjMDE1MDEiLCJ1c2VySWQiOiIxNTc1OTUwNjI3In0=</vt:lpwstr>
  </property>
</Properties>
</file>